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096860"/>
        <w:docPartObj>
          <w:docPartGallery w:val="Cover Pages"/>
          <w:docPartUnique/>
        </w:docPartObj>
      </w:sdtPr>
      <w:sdtEndPr>
        <w:rPr>
          <w:b/>
          <w:sz w:val="28"/>
          <w:szCs w:val="28"/>
          <w:u w:val="single"/>
        </w:rPr>
      </w:sdtEndPr>
      <w:sdtContent>
        <w:p w:rsidR="000C3C68" w:rsidRDefault="00922B2E">
          <w:r w:rsidRPr="00BB03B8">
            <w:rPr>
              <w:noProof/>
              <w:lang w:val="en-US" w:eastAsia="zh-TW"/>
            </w:rPr>
            <w:pict>
              <v:group id="_x0000_s1044" style="position:absolute;margin-left:15.9pt;margin-top:21.15pt;width:580.3pt;height:751.4pt;z-index:251660288;mso-width-percent:950;mso-height-percent:950;mso-position-horizontal-relative:page;mso-position-vertical-relative:page;mso-width-percent:950;mso-height-percent:950" coordorigin="316,406" coordsize="11608,15028" o:allowincell="f">
                <v:group id="_x0000_s104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6"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47" style="position:absolute;left:3446;top:406;width:8475;height:15025;mso-width-relative:margin" fillcolor="#92d050" strokecolor="white [3212]" strokeweight="1pt">
                    <v:shadow color="#d8d8d8 [2732]" offset="3pt,3pt" offset2="2pt,2pt"/>
                    <v:textbox style="mso-next-textbox:#_x0000_s1047" inset="18pt,108pt,36pt">
                      <w:txbxContent>
                        <w:sdt>
                          <w:sdtPr>
                            <w:rPr>
                              <w:rFonts w:cs="Times New Roman"/>
                              <w:b/>
                              <w:sz w:val="36"/>
                              <w:szCs w:val="36"/>
                            </w:rPr>
                            <w:alias w:val="Title"/>
                            <w:id w:val="16962279"/>
                            <w:placeholder>
                              <w:docPart w:val="F5F8759E3D154B9FA337B5EBE157F409"/>
                            </w:placeholder>
                            <w:dataBinding w:prefixMappings="xmlns:ns0='http://schemas.openxmlformats.org/package/2006/metadata/core-properties' xmlns:ns1='http://purl.org/dc/elements/1.1/'" w:xpath="/ns0:coreProperties[1]/ns1:title[1]" w:storeItemID="{6C3C8BC8-F283-45AE-878A-BAB7291924A1}"/>
                            <w:text/>
                          </w:sdtPr>
                          <w:sdtContent>
                            <w:p w:rsidR="000C3C68" w:rsidRPr="000C3C68" w:rsidRDefault="000C3C68">
                              <w:pPr>
                                <w:pStyle w:val="NoSpacing"/>
                                <w:rPr>
                                  <w:sz w:val="80"/>
                                  <w:szCs w:val="80"/>
                                </w:rPr>
                              </w:pPr>
                              <w:r w:rsidRPr="000C3C68">
                                <w:rPr>
                                  <w:rFonts w:cs="Times New Roman"/>
                                  <w:b/>
                                  <w:sz w:val="36"/>
                                  <w:szCs w:val="36"/>
                                </w:rPr>
                                <w:t>Position and Rights of Minority Shareholders in Listed</w:t>
                              </w:r>
                              <w:r w:rsidRPr="000C3C68">
                                <w:rPr>
                                  <w:rFonts w:cs="Times New Roman"/>
                                  <w:b/>
                                  <w:sz w:val="36"/>
                                  <w:szCs w:val="36"/>
                                </w:rPr>
                                <w:t xml:space="preserve"> State owned Enterprises (SOEs) </w:t>
                              </w:r>
                              <w:r w:rsidRPr="000C3C68">
                                <w:rPr>
                                  <w:rFonts w:cs="Times New Roman"/>
                                  <w:b/>
                                  <w:sz w:val="36"/>
                                  <w:szCs w:val="36"/>
                                </w:rPr>
                                <w:t>-</w:t>
                              </w:r>
                              <w:r>
                                <w:rPr>
                                  <w:rFonts w:cs="Times New Roman"/>
                                  <w:b/>
                                  <w:sz w:val="36"/>
                                  <w:szCs w:val="36"/>
                                </w:rPr>
                                <w:t xml:space="preserve">                             </w:t>
                              </w:r>
                              <w:r w:rsidRPr="000C3C68">
                                <w:rPr>
                                  <w:rFonts w:cs="Times New Roman"/>
                                  <w:b/>
                                  <w:sz w:val="36"/>
                                  <w:szCs w:val="36"/>
                                </w:rPr>
                                <w:t>Experiences and lessons from India</w:t>
                              </w:r>
                            </w:p>
                          </w:sdtContent>
                        </w:sdt>
                        <w:p w:rsidR="000C3C68" w:rsidRPr="000C3C68" w:rsidRDefault="000C3C68" w:rsidP="000C3C68">
                          <w:pPr>
                            <w:pStyle w:val="NoSpacing"/>
                            <w:rPr>
                              <w:sz w:val="40"/>
                              <w:szCs w:val="40"/>
                            </w:rPr>
                          </w:pPr>
                        </w:p>
                        <w:p w:rsidR="000C3C68" w:rsidRDefault="000C3C68">
                          <w:pPr>
                            <w:pStyle w:val="NoSpacing"/>
                            <w:rPr>
                              <w:color w:val="FFFFFF" w:themeColor="background1"/>
                            </w:rPr>
                          </w:pPr>
                        </w:p>
                        <w:p w:rsidR="000C3C68" w:rsidRDefault="000C3C68">
                          <w:pPr>
                            <w:pStyle w:val="NoSpacing"/>
                            <w:rPr>
                              <w:color w:val="FFFFFF" w:themeColor="background1"/>
                            </w:rPr>
                          </w:pPr>
                        </w:p>
                        <w:p w:rsidR="000C3C68" w:rsidRDefault="000C3C68">
                          <w:pPr>
                            <w:pStyle w:val="NoSpacing"/>
                            <w:rPr>
                              <w:color w:val="FFFFFF" w:themeColor="background1"/>
                            </w:rPr>
                          </w:pPr>
                        </w:p>
                      </w:txbxContent>
                    </v:textbox>
                  </v:rect>
                  <v:group id="_x0000_s1048" style="position:absolute;left:321;top:3424;width:3125;height:6069" coordorigin="654,3599" coordsize="2880,5760">
                    <v:rect id="_x0000_s1049" style="position:absolute;left:2094;top:6479;width:1440;height:1440;flip:x;mso-width-relative:margin;v-text-anchor:middle" fillcolor="#548dd4 [1951]" strokecolor="white [3212]" strokeweight="1pt">
                      <v:fill opacity=".5"/>
                      <v:shadow color="#d8d8d8 [2732]" offset="3pt,3pt" offset2="2pt,2pt"/>
                    </v:rect>
                    <v:rect id="_x0000_s1050" style="position:absolute;left:2094;top:5039;width:1440;height:1440;flip:x;mso-width-relative:margin;v-text-anchor:middle" fillcolor="#ff6" strokecolor="white [3212]" strokeweight="1pt">
                      <v:fill opacity=".5"/>
                      <v:shadow color="#d8d8d8 [2732]" offset="3pt,3pt" offset2="2pt,2pt"/>
                    </v:rect>
                    <v:rect id="_x0000_s1051" style="position:absolute;left:654;top:5039;width:1440;height:1440;flip:x;mso-width-relative:margin;v-text-anchor:middle" fillcolor="#548dd4 [1951]" strokecolor="white [3212]" strokeweight="1pt">
                      <v:fill opacity=".5"/>
                      <v:shadow color="#d8d8d8 [2732]" offset="3pt,3pt" offset2="2pt,2pt"/>
                    </v:rect>
                    <v:rect id="_x0000_s1052" style="position:absolute;left:654;top:3599;width:1440;height:1440;flip:x;mso-width-relative:margin;v-text-anchor:middle" fillcolor="#548dd4 [1951]" strokecolor="white [3212]" strokeweight="1pt">
                      <v:fill opacity=".5"/>
                      <v:shadow color="#d8d8d8 [2732]" offset="3pt,3pt" offset2="2pt,2pt"/>
                    </v:rect>
                    <v:rect id="_x0000_s1053" style="position:absolute;left:654;top:6479;width:1440;height:1440;flip:x;mso-width-relative:margin;v-text-anchor:middle" fillcolor="#ff6" strokecolor="white [3212]" strokeweight="1pt">
                      <v:fill opacity=".5"/>
                      <v:shadow color="#d8d8d8 [2732]" offset="3pt,3pt" offset2="2pt,2pt"/>
                    </v:rect>
                    <v:rect id="_x0000_s1054" style="position:absolute;left:2094;top:7919;width:1440;height:1440;flip:x;mso-width-relative:margin;v-text-anchor:middle" fillcolor="#ff6" strokecolor="white [3212]" strokeweight="1pt">
                      <v:fill opacity=".5"/>
                      <v:shadow color="#d8d8d8 [2732]" offset="3pt,3pt" offset2="2pt,2pt"/>
                    </v:rect>
                  </v:group>
                  <v:rect id="_x0000_s1055" style="position:absolute;left:2690;top:406;width:1563;height:1518;flip:x;mso-width-relative:margin;v-text-anchor:bottom" fillcolor="#c0504d [3205]" strokecolor="white [3212]" strokeweight="1pt">
                    <v:shadow color="#d8d8d8 [2732]" offset="3pt,3pt" offset2="2pt,2pt"/>
                    <v:textbox style="mso-next-textbox:#_x0000_s1055">
                      <w:txbxContent>
                        <w:sdt>
                          <w:sdtPr>
                            <w:rPr>
                              <w:color w:val="FFFFFF" w:themeColor="background1"/>
                              <w:sz w:val="52"/>
                              <w:szCs w:val="52"/>
                            </w:rPr>
                            <w:alias w:val="Year"/>
                            <w:id w:val="16962274"/>
                            <w:placeholder>
                              <w:docPart w:val="1C91AA1598DE4EE4BBB8EC18543B9865"/>
                            </w:placeholder>
                            <w:dataBinding w:prefixMappings="xmlns:ns0='http://schemas.microsoft.com/office/2006/coverPageProps'" w:xpath="/ns0:CoverPageProperties[1]/ns0:PublishDate[1]" w:storeItemID="{55AF091B-3C7A-41E3-B477-F2FDAA23CFDA}"/>
                            <w:date w:fullDate="2012-06-01T00:00:00Z">
                              <w:dateFormat w:val="yyyy"/>
                              <w:lid w:val="en-US"/>
                              <w:storeMappedDataAs w:val="dateTime"/>
                              <w:calendar w:val="gregorian"/>
                            </w:date>
                          </w:sdtPr>
                          <w:sdtContent>
                            <w:p w:rsidR="000C3C68" w:rsidRDefault="000C3C68">
                              <w:pPr>
                                <w:jc w:val="center"/>
                                <w:rPr>
                                  <w:color w:val="FFFFFF" w:themeColor="background1"/>
                                  <w:sz w:val="48"/>
                                  <w:szCs w:val="52"/>
                                </w:rPr>
                              </w:pPr>
                              <w:r>
                                <w:rPr>
                                  <w:color w:val="FFFFFF" w:themeColor="background1"/>
                                  <w:sz w:val="52"/>
                                  <w:szCs w:val="52"/>
                                  <w:lang w:val="en-US"/>
                                </w:rPr>
                                <w:t>2012</w:t>
                              </w:r>
                            </w:p>
                          </w:sdtContent>
                        </w:sdt>
                      </w:txbxContent>
                    </v:textbox>
                  </v:rect>
                </v:group>
                <v:group id="_x0000_s1056" style="position:absolute;left:3446;top:13758;width:8169;height:1382" coordorigin="3446,13758" coordsize="8169,1382">
                  <v:group id="_x0000_s1057" style="position:absolute;left:10833;top:14380;width:782;height:760;flip:x y" coordorigin="8754,11945" coordsize="2880,2859">
                    <v:rect id="_x0000_s1058" style="position:absolute;left:10194;top:11945;width:1440;height:1440;flip:x;mso-width-relative:margin;v-text-anchor:middle" fillcolor="#bfbfbf [2412]" strokecolor="white [3212]" strokeweight="1pt">
                      <v:fill opacity=".5"/>
                      <v:shadow color="#d8d8d8 [2732]" offset="3pt,3pt" offset2="2pt,2pt"/>
                    </v:rect>
                    <v:rect id="_x0000_s1059" style="position:absolute;left:10194;top:13364;width:1440;height:1440;flip:x;mso-width-relative:margin;v-text-anchor:middle" fillcolor="#c0504d [3205]" strokecolor="white [3212]" strokeweight="1pt">
                      <v:shadow color="#d8d8d8 [2732]" offset="3pt,3pt" offset2="2pt,2pt"/>
                    </v:rect>
                    <v:rect id="_x0000_s1060" style="position:absolute;left:8754;top:13364;width:1440;height:1440;flip:x;mso-width-relative:margin;v-text-anchor:middle" fillcolor="#bfbfbf [2412]" strokecolor="white [3212]" strokeweight="1pt">
                      <v:fill opacity=".5"/>
                      <v:shadow color="#d8d8d8 [2732]" offset="3pt,3pt" offset2="2pt,2pt"/>
                    </v:rect>
                  </v:group>
                  <v:rect id="_x0000_s1061" style="position:absolute;left:3446;top:13758;width:7105;height:1382;v-text-anchor:bottom" filled="f" fillcolor="white [3212]" stroked="f" strokecolor="white [3212]" strokeweight="1pt">
                    <v:fill opacity="52429f"/>
                    <v:shadow color="#d8d8d8 [2732]" offset="3pt,3pt" offset2="2pt,2pt"/>
                    <v:textbox style="mso-next-textbox:#_x0000_s1061" inset=",0,,0">
                      <w:txbxContent>
                        <w:sdt>
                          <w:sdtPr>
                            <w:rPr>
                              <w:b/>
                              <w:color w:val="FFFFFF" w:themeColor="background1"/>
                              <w:sz w:val="32"/>
                              <w:szCs w:val="32"/>
                            </w:rPr>
                            <w:alias w:val="Author"/>
                            <w:id w:val="16962296"/>
                            <w:placeholder>
                              <w:docPart w:val="64AA81C6AD674179BF020B717F8BCDB6"/>
                            </w:placeholder>
                            <w:dataBinding w:prefixMappings="xmlns:ns0='http://schemas.openxmlformats.org/package/2006/metadata/core-properties' xmlns:ns1='http://purl.org/dc/elements/1.1/'" w:xpath="/ns0:coreProperties[1]/ns1:creator[1]" w:storeItemID="{6C3C8BC8-F283-45AE-878A-BAB7291924A1}"/>
                            <w:text/>
                          </w:sdtPr>
                          <w:sdtContent>
                            <w:p w:rsidR="000C3C68" w:rsidRPr="000C3C68" w:rsidRDefault="000C3C68">
                              <w:pPr>
                                <w:pStyle w:val="NoSpacing"/>
                                <w:jc w:val="right"/>
                                <w:rPr>
                                  <w:b/>
                                  <w:color w:val="FFFFFF" w:themeColor="background1"/>
                                  <w:sz w:val="32"/>
                                  <w:szCs w:val="32"/>
                                </w:rPr>
                              </w:pPr>
                              <w:r w:rsidRPr="000C3C68">
                                <w:rPr>
                                  <w:b/>
                                  <w:color w:val="FFFFFF" w:themeColor="background1"/>
                                  <w:sz w:val="32"/>
                                  <w:szCs w:val="32"/>
                                  <w:lang w:val="en-IN"/>
                                </w:rPr>
                                <w:t>Santosh Pande</w:t>
                              </w:r>
                            </w:p>
                          </w:sdtContent>
                        </w:sdt>
                        <w:sdt>
                          <w:sdtPr>
                            <w:rPr>
                              <w:b/>
                              <w:sz w:val="32"/>
                              <w:szCs w:val="32"/>
                            </w:rPr>
                            <w:alias w:val="Company"/>
                            <w:id w:val="16962301"/>
                            <w:placeholder>
                              <w:docPart w:val="9F524788BCA441D09FE8595E4690AF01"/>
                            </w:placeholder>
                            <w:dataBinding w:prefixMappings="xmlns:ns0='http://schemas.openxmlformats.org/officeDocument/2006/extended-properties'" w:xpath="/ns0:Properties[1]/ns0:Company[1]" w:storeItemID="{6668398D-A668-4E3E-A5EB-62B293D839F1}"/>
                            <w:text/>
                          </w:sdtPr>
                          <w:sdtContent>
                            <w:p w:rsidR="000C3C68" w:rsidRPr="000C3C68" w:rsidRDefault="000C3C68">
                              <w:pPr>
                                <w:pStyle w:val="NoSpacing"/>
                                <w:jc w:val="right"/>
                                <w:rPr>
                                  <w:b/>
                                  <w:color w:val="FFFFFF" w:themeColor="background1"/>
                                  <w:sz w:val="32"/>
                                  <w:szCs w:val="32"/>
                                </w:rPr>
                              </w:pPr>
                              <w:r w:rsidRPr="000C3C68">
                                <w:rPr>
                                  <w:b/>
                                  <w:sz w:val="32"/>
                                  <w:szCs w:val="32"/>
                                </w:rPr>
                                <w:t>Thought Arbitrage Research Institute</w:t>
                              </w:r>
                            </w:p>
                          </w:sdtContent>
                        </w:sdt>
                        <w:sdt>
                          <w:sdtPr>
                            <w:rPr>
                              <w:b/>
                              <w:color w:val="FFFFFF" w:themeColor="background1"/>
                              <w:sz w:val="32"/>
                              <w:szCs w:val="32"/>
                            </w:rPr>
                            <w:alias w:val="Date"/>
                            <w:id w:val="16962306"/>
                            <w:placeholder>
                              <w:docPart w:val="58ABF99516C548049F6FB2F9F4CBC46D"/>
                            </w:placeholder>
                            <w:dataBinding w:prefixMappings="xmlns:ns0='http://schemas.microsoft.com/office/2006/coverPageProps'" w:xpath="/ns0:CoverPageProperties[1]/ns0:PublishDate[1]" w:storeItemID="{55AF091B-3C7A-41E3-B477-F2FDAA23CFDA}"/>
                            <w:date w:fullDate="2012-06-01T00:00:00Z">
                              <w:dateFormat w:val="M/d/yyyy"/>
                              <w:lid w:val="en-US"/>
                              <w:storeMappedDataAs w:val="dateTime"/>
                              <w:calendar w:val="gregorian"/>
                            </w:date>
                          </w:sdtPr>
                          <w:sdtContent>
                            <w:p w:rsidR="000C3C68" w:rsidRPr="000C3C68" w:rsidRDefault="000C3C68">
                              <w:pPr>
                                <w:pStyle w:val="NoSpacing"/>
                                <w:jc w:val="right"/>
                                <w:rPr>
                                  <w:b/>
                                  <w:color w:val="FFFFFF" w:themeColor="background1"/>
                                  <w:sz w:val="32"/>
                                  <w:szCs w:val="32"/>
                                </w:rPr>
                              </w:pPr>
                              <w:r w:rsidRPr="000C3C68">
                                <w:rPr>
                                  <w:b/>
                                  <w:color w:val="FFFFFF" w:themeColor="background1"/>
                                  <w:sz w:val="32"/>
                                  <w:szCs w:val="32"/>
                                </w:rPr>
                                <w:t>6/1/2012</w:t>
                              </w:r>
                            </w:p>
                          </w:sdtContent>
                        </w:sdt>
                      </w:txbxContent>
                    </v:textbox>
                  </v:rect>
                </v:group>
                <w10:wrap anchorx="page" anchory="page"/>
              </v:group>
            </w:pict>
          </w:r>
        </w:p>
        <w:p w:rsidR="000C3C68" w:rsidRDefault="000C3C68"/>
        <w:p w:rsidR="000C3C68" w:rsidRDefault="000C3C68">
          <w:pPr>
            <w:rPr>
              <w:b/>
              <w:sz w:val="28"/>
              <w:szCs w:val="28"/>
              <w:u w:val="single"/>
            </w:rPr>
          </w:pPr>
          <w:r>
            <w:rPr>
              <w:b/>
              <w:sz w:val="28"/>
              <w:szCs w:val="28"/>
              <w:u w:val="single"/>
            </w:rPr>
            <w:br w:type="page"/>
          </w:r>
        </w:p>
      </w:sdtContent>
    </w:sdt>
    <w:p w:rsidR="0094315A" w:rsidRDefault="0094315A" w:rsidP="0094315A">
      <w:pPr>
        <w:jc w:val="center"/>
        <w:rPr>
          <w:b/>
          <w:sz w:val="32"/>
          <w:szCs w:val="32"/>
          <w:u w:val="single"/>
        </w:rPr>
      </w:pPr>
      <w:r>
        <w:rPr>
          <w:b/>
          <w:sz w:val="32"/>
          <w:szCs w:val="32"/>
          <w:u w:val="single"/>
        </w:rPr>
        <w:lastRenderedPageBreak/>
        <w:t>ABSTRACT</w:t>
      </w:r>
    </w:p>
    <w:p w:rsidR="0094315A" w:rsidRDefault="0094315A" w:rsidP="0094315A">
      <w:pPr>
        <w:rPr>
          <w:b/>
          <w:sz w:val="32"/>
          <w:szCs w:val="32"/>
          <w:u w:val="single"/>
        </w:rPr>
      </w:pPr>
      <w:r w:rsidRPr="005B616D">
        <w:t>The presence of the State as a dominant shareholder adds</w:t>
      </w:r>
      <w:r w:rsidR="000C1AC0">
        <w:t xml:space="preserve"> an</w:t>
      </w:r>
      <w:r w:rsidRPr="005B616D">
        <w:t xml:space="preserve"> additional complexity to the corporate governance challenges in organization</w:t>
      </w:r>
      <w:r w:rsidR="000C1AC0">
        <w:t>s</w:t>
      </w:r>
      <w:r>
        <w:t xml:space="preserve"> as the State </w:t>
      </w:r>
      <w:r w:rsidR="00EC3485">
        <w:t>often has</w:t>
      </w:r>
      <w:r w:rsidRPr="0002643C">
        <w:rPr>
          <w:lang w:val="en-US"/>
        </w:rPr>
        <w:t xml:space="preserve"> goals</w:t>
      </w:r>
      <w:r w:rsidR="000C1AC0">
        <w:rPr>
          <w:lang w:val="en-US"/>
        </w:rPr>
        <w:t xml:space="preserve"> that </w:t>
      </w:r>
      <w:r w:rsidR="00106C3F">
        <w:rPr>
          <w:lang w:val="en-US"/>
        </w:rPr>
        <w:t xml:space="preserve">are </w:t>
      </w:r>
      <w:r w:rsidR="000C1AC0">
        <w:rPr>
          <w:lang w:val="en-US"/>
        </w:rPr>
        <w:t xml:space="preserve">different from the goals of </w:t>
      </w:r>
      <w:r w:rsidR="000C1AC0" w:rsidRPr="0002643C">
        <w:rPr>
          <w:lang w:val="en-US"/>
        </w:rPr>
        <w:t>the</w:t>
      </w:r>
      <w:r w:rsidRPr="0002643C">
        <w:rPr>
          <w:lang w:val="en-US"/>
        </w:rPr>
        <w:t xml:space="preserve"> classic private shareholder who</w:t>
      </w:r>
      <w:r w:rsidR="000C1AC0">
        <w:rPr>
          <w:lang w:val="en-US"/>
        </w:rPr>
        <w:t xml:space="preserve"> </w:t>
      </w:r>
      <w:r w:rsidR="00106C3F">
        <w:rPr>
          <w:lang w:val="en-US"/>
        </w:rPr>
        <w:t xml:space="preserve">only </w:t>
      </w:r>
      <w:r w:rsidR="00106C3F" w:rsidRPr="0002643C">
        <w:rPr>
          <w:lang w:val="en-US"/>
        </w:rPr>
        <w:t>seeks</w:t>
      </w:r>
      <w:r w:rsidR="00106C3F">
        <w:rPr>
          <w:lang w:val="en-US"/>
        </w:rPr>
        <w:t xml:space="preserve"> </w:t>
      </w:r>
      <w:r w:rsidRPr="0002643C">
        <w:rPr>
          <w:lang w:val="en-US"/>
        </w:rPr>
        <w:t>private gain</w:t>
      </w:r>
    </w:p>
    <w:p w:rsidR="0094315A" w:rsidRDefault="0094315A" w:rsidP="0094315A">
      <w:pPr>
        <w:rPr>
          <w:lang w:val="en-US"/>
        </w:rPr>
      </w:pPr>
      <w:r>
        <w:t>While the corporate governance issues arising from the role of</w:t>
      </w:r>
      <w:r w:rsidR="00106C3F">
        <w:t xml:space="preserve"> the</w:t>
      </w:r>
      <w:r>
        <w:t xml:space="preserve"> State as a Dominant Shareholder are a sub set of the broader issues that arises from the role of </w:t>
      </w:r>
      <w:r w:rsidR="00106C3F">
        <w:t xml:space="preserve">a </w:t>
      </w:r>
      <w:r>
        <w:t xml:space="preserve">Dominant Shareholder in </w:t>
      </w:r>
      <w:r w:rsidR="000C1AC0">
        <w:t>expropriating minority</w:t>
      </w:r>
      <w:r>
        <w:t xml:space="preserve"> shareholder rights </w:t>
      </w:r>
      <w:r w:rsidR="000C1AC0">
        <w:t>in</w:t>
      </w:r>
      <w:r w:rsidR="00106C3F">
        <w:t xml:space="preserve"> an</w:t>
      </w:r>
      <w:r w:rsidR="000C1AC0">
        <w:t xml:space="preserve"> organization</w:t>
      </w:r>
      <w:r>
        <w:t>, there is one fundamental difference between the position of minority shareholders in a</w:t>
      </w:r>
      <w:r w:rsidR="000C1AC0">
        <w:t xml:space="preserve"> State owned enterprise (SOE)</w:t>
      </w:r>
      <w:r>
        <w:t xml:space="preserve"> as compared to the position of minority shareholders in a normal business enterprise. It can be conceivably argued that the mere act of</w:t>
      </w:r>
      <w:r w:rsidRPr="00B04EAC">
        <w:rPr>
          <w:lang w:val="en-US"/>
        </w:rPr>
        <w:t xml:space="preserve"> listing of </w:t>
      </w:r>
      <w:r>
        <w:rPr>
          <w:lang w:val="en-US"/>
        </w:rPr>
        <w:t>a S</w:t>
      </w:r>
      <w:r w:rsidR="000C1AC0">
        <w:rPr>
          <w:lang w:val="en-US"/>
        </w:rPr>
        <w:t>OE</w:t>
      </w:r>
      <w:r w:rsidRPr="00B04EAC">
        <w:rPr>
          <w:lang w:val="en-US"/>
        </w:rPr>
        <w:t xml:space="preserve"> d</w:t>
      </w:r>
      <w:r>
        <w:rPr>
          <w:lang w:val="en-US"/>
        </w:rPr>
        <w:t xml:space="preserve">oes </w:t>
      </w:r>
      <w:r w:rsidRPr="00B04EAC">
        <w:rPr>
          <w:lang w:val="en-US"/>
        </w:rPr>
        <w:t xml:space="preserve">not </w:t>
      </w:r>
      <w:r w:rsidR="00106C3F">
        <w:rPr>
          <w:lang w:val="en-US"/>
        </w:rPr>
        <w:t xml:space="preserve">turn </w:t>
      </w:r>
      <w:r w:rsidR="00EC3485" w:rsidRPr="00B04EAC">
        <w:rPr>
          <w:lang w:val="en-US"/>
        </w:rPr>
        <w:t xml:space="preserve">them </w:t>
      </w:r>
      <w:r w:rsidR="00EC3485">
        <w:rPr>
          <w:lang w:val="en-US"/>
        </w:rPr>
        <w:t>into</w:t>
      </w:r>
      <w:r w:rsidR="00106C3F">
        <w:rPr>
          <w:lang w:val="en-US"/>
        </w:rPr>
        <w:t xml:space="preserve"> a c</w:t>
      </w:r>
      <w:r w:rsidRPr="00B04EAC">
        <w:rPr>
          <w:lang w:val="en-US"/>
        </w:rPr>
        <w:t xml:space="preserve">apitalist </w:t>
      </w:r>
      <w:r w:rsidR="00EC3485" w:rsidRPr="00B04EAC">
        <w:rPr>
          <w:lang w:val="en-US"/>
        </w:rPr>
        <w:t>entity</w:t>
      </w:r>
      <w:r w:rsidR="00EC3485">
        <w:rPr>
          <w:lang w:val="en-US"/>
        </w:rPr>
        <w:t xml:space="preserve"> </w:t>
      </w:r>
      <w:r w:rsidR="00EC3485" w:rsidRPr="00B04EAC">
        <w:rPr>
          <w:lang w:val="en-US"/>
        </w:rPr>
        <w:t>whose</w:t>
      </w:r>
      <w:r>
        <w:rPr>
          <w:lang w:val="en-US"/>
        </w:rPr>
        <w:t xml:space="preserve"> sole aim becomes that of </w:t>
      </w:r>
      <w:r w:rsidRPr="00B04EAC">
        <w:rPr>
          <w:lang w:val="en-US"/>
        </w:rPr>
        <w:t>maximizing</w:t>
      </w:r>
      <w:r>
        <w:rPr>
          <w:lang w:val="en-US"/>
        </w:rPr>
        <w:t xml:space="preserve"> the value of the </w:t>
      </w:r>
      <w:r w:rsidR="000C1AC0">
        <w:rPr>
          <w:lang w:val="en-US"/>
        </w:rPr>
        <w:t>enterprise;</w:t>
      </w:r>
      <w:r>
        <w:rPr>
          <w:lang w:val="en-US"/>
        </w:rPr>
        <w:t xml:space="preserve"> </w:t>
      </w:r>
      <w:r w:rsidRPr="00821B8B">
        <w:rPr>
          <w:lang w:val="en-US"/>
        </w:rPr>
        <w:t>the</w:t>
      </w:r>
      <w:r w:rsidRPr="00B04EAC">
        <w:rPr>
          <w:lang w:val="en-US"/>
        </w:rPr>
        <w:t xml:space="preserve"> inherent conflict</w:t>
      </w:r>
      <w:r>
        <w:rPr>
          <w:lang w:val="en-US"/>
        </w:rPr>
        <w:t xml:space="preserve"> between broader</w:t>
      </w:r>
      <w:r w:rsidRPr="00B04EAC">
        <w:rPr>
          <w:lang w:val="en-US"/>
        </w:rPr>
        <w:t xml:space="preserve"> "national interest” (</w:t>
      </w:r>
      <w:r>
        <w:rPr>
          <w:lang w:val="en-US"/>
        </w:rPr>
        <w:t>pursued by the State)</w:t>
      </w:r>
      <w:r w:rsidRPr="00B04EAC">
        <w:rPr>
          <w:lang w:val="en-US"/>
        </w:rPr>
        <w:t xml:space="preserve"> and the "minority interest"</w:t>
      </w:r>
      <w:r>
        <w:rPr>
          <w:lang w:val="en-US"/>
        </w:rPr>
        <w:t>(pursued by the minority shareholders)</w:t>
      </w:r>
      <w:r w:rsidRPr="00B04EAC">
        <w:rPr>
          <w:lang w:val="en-US"/>
        </w:rPr>
        <w:t xml:space="preserve"> </w:t>
      </w:r>
      <w:r w:rsidR="000C1AC0">
        <w:rPr>
          <w:lang w:val="en-US"/>
        </w:rPr>
        <w:t>often</w:t>
      </w:r>
      <w:r>
        <w:rPr>
          <w:lang w:val="en-US"/>
        </w:rPr>
        <w:t xml:space="preserve"> continue</w:t>
      </w:r>
      <w:r w:rsidR="000C1AC0">
        <w:rPr>
          <w:lang w:val="en-US"/>
        </w:rPr>
        <w:t>s</w:t>
      </w:r>
      <w:r>
        <w:rPr>
          <w:lang w:val="en-US"/>
        </w:rPr>
        <w:t xml:space="preserve"> </w:t>
      </w:r>
      <w:r w:rsidR="00106C3F">
        <w:rPr>
          <w:lang w:val="en-US"/>
        </w:rPr>
        <w:t xml:space="preserve">in a SOE </w:t>
      </w:r>
      <w:r w:rsidR="00EC3485">
        <w:rPr>
          <w:lang w:val="en-US"/>
        </w:rPr>
        <w:t xml:space="preserve">leading to </w:t>
      </w:r>
      <w:r w:rsidR="000C1AC0">
        <w:rPr>
          <w:lang w:val="en-US"/>
        </w:rPr>
        <w:t>a</w:t>
      </w:r>
      <w:r>
        <w:rPr>
          <w:lang w:val="en-US"/>
        </w:rPr>
        <w:t xml:space="preserve"> principal-principal problem between two sets of shareholders who may have different objectives. </w:t>
      </w:r>
    </w:p>
    <w:p w:rsidR="0094315A" w:rsidRDefault="0094315A" w:rsidP="0094315A">
      <w:pPr>
        <w:rPr>
          <w:lang w:val="en-US"/>
        </w:rPr>
      </w:pPr>
      <w:r>
        <w:rPr>
          <w:lang w:val="en-US"/>
        </w:rPr>
        <w:t>Privatization of SOEs</w:t>
      </w:r>
      <w:r w:rsidR="00106C3F">
        <w:rPr>
          <w:lang w:val="en-US"/>
        </w:rPr>
        <w:t xml:space="preserve"> inherently</w:t>
      </w:r>
      <w:r w:rsidRPr="00125784">
        <w:rPr>
          <w:lang w:val="en-US"/>
        </w:rPr>
        <w:t xml:space="preserve"> reduces the policy space open to government</w:t>
      </w:r>
      <w:r>
        <w:rPr>
          <w:lang w:val="en-US"/>
        </w:rPr>
        <w:t xml:space="preserve"> and</w:t>
      </w:r>
      <w:r w:rsidRPr="00125784">
        <w:rPr>
          <w:lang w:val="en-US"/>
        </w:rPr>
        <w:t xml:space="preserve"> sets new terms for the relationship between the state and private capital</w:t>
      </w:r>
      <w:r>
        <w:rPr>
          <w:lang w:val="en-US"/>
        </w:rPr>
        <w:t xml:space="preserve"> which could give</w:t>
      </w:r>
      <w:r w:rsidRPr="00125784">
        <w:rPr>
          <w:lang w:val="en-US"/>
        </w:rPr>
        <w:t xml:space="preserve"> the latter an edge. </w:t>
      </w:r>
      <w:r>
        <w:rPr>
          <w:lang w:val="en-US"/>
        </w:rPr>
        <w:t>In the transition period when S</w:t>
      </w:r>
      <w:r w:rsidR="000C1AC0">
        <w:rPr>
          <w:lang w:val="en-US"/>
        </w:rPr>
        <w:t>OEs</w:t>
      </w:r>
      <w:r>
        <w:rPr>
          <w:lang w:val="en-US"/>
        </w:rPr>
        <w:t xml:space="preserve"> are being privatized, </w:t>
      </w:r>
      <w:r w:rsidRPr="00125784">
        <w:rPr>
          <w:lang w:val="en-US"/>
        </w:rPr>
        <w:t>foreign investors, even minority ones</w:t>
      </w:r>
      <w:r w:rsidR="00106C3F">
        <w:rPr>
          <w:lang w:val="en-US"/>
        </w:rPr>
        <w:t xml:space="preserve"> </w:t>
      </w:r>
      <w:r w:rsidRPr="00125784">
        <w:rPr>
          <w:lang w:val="en-US"/>
        </w:rPr>
        <w:t xml:space="preserve"> who have bought into </w:t>
      </w:r>
      <w:r>
        <w:rPr>
          <w:lang w:val="en-US"/>
        </w:rPr>
        <w:t>such enterprises on listing</w:t>
      </w:r>
      <w:r w:rsidRPr="00125784">
        <w:rPr>
          <w:lang w:val="en-US"/>
        </w:rPr>
        <w:t xml:space="preserve">, may declare any policy that </w:t>
      </w:r>
      <w:r>
        <w:rPr>
          <w:lang w:val="en-US"/>
        </w:rPr>
        <w:t>restrict</w:t>
      </w:r>
      <w:r w:rsidRPr="00125784">
        <w:rPr>
          <w:lang w:val="en-US"/>
        </w:rPr>
        <w:t xml:space="preserve"> profiteering</w:t>
      </w:r>
      <w:r>
        <w:rPr>
          <w:lang w:val="en-US"/>
        </w:rPr>
        <w:t>,</w:t>
      </w:r>
      <w:r w:rsidRPr="00125784">
        <w:rPr>
          <w:lang w:val="en-US"/>
        </w:rPr>
        <w:t xml:space="preserve"> in the interest of development</w:t>
      </w:r>
      <w:r>
        <w:rPr>
          <w:lang w:val="en-US"/>
        </w:rPr>
        <w:t>,</w:t>
      </w:r>
      <w:r w:rsidRPr="00125784">
        <w:rPr>
          <w:lang w:val="en-US"/>
        </w:rPr>
        <w:t xml:space="preserve"> as amounting to oppression of </w:t>
      </w:r>
      <w:r w:rsidR="00EC3485">
        <w:rPr>
          <w:lang w:val="en-US"/>
        </w:rPr>
        <w:t xml:space="preserve">the </w:t>
      </w:r>
      <w:r w:rsidRPr="00125784">
        <w:rPr>
          <w:lang w:val="en-US"/>
        </w:rPr>
        <w:t>minority shareholders</w:t>
      </w:r>
      <w:r>
        <w:rPr>
          <w:lang w:val="en-US"/>
        </w:rPr>
        <w:t xml:space="preserve"> a</w:t>
      </w:r>
      <w:r w:rsidRPr="00125784">
        <w:rPr>
          <w:lang w:val="en-US"/>
        </w:rPr>
        <w:t>nd  may</w:t>
      </w:r>
      <w:r>
        <w:rPr>
          <w:lang w:val="en-US"/>
        </w:rPr>
        <w:t xml:space="preserve"> attempt to</w:t>
      </w:r>
      <w:r w:rsidRPr="00125784">
        <w:rPr>
          <w:lang w:val="en-US"/>
        </w:rPr>
        <w:t xml:space="preserve"> cow the </w:t>
      </w:r>
      <w:r>
        <w:rPr>
          <w:lang w:val="en-US"/>
        </w:rPr>
        <w:t xml:space="preserve">State </w:t>
      </w:r>
      <w:r w:rsidRPr="00125784">
        <w:rPr>
          <w:lang w:val="en-US"/>
        </w:rPr>
        <w:t>down.</w:t>
      </w:r>
    </w:p>
    <w:p w:rsidR="0094315A" w:rsidRDefault="0094315A" w:rsidP="0094315A">
      <w:pPr>
        <w:rPr>
          <w:lang w:val="en-US"/>
        </w:rPr>
      </w:pPr>
      <w:r>
        <w:rPr>
          <w:lang w:val="en-US"/>
        </w:rPr>
        <w:t xml:space="preserve">However, given that the value of the listed state entity arises, in many cases, from its monopoly position or from </w:t>
      </w:r>
      <w:r w:rsidRPr="00125784">
        <w:rPr>
          <w:lang w:val="en-US"/>
        </w:rPr>
        <w:t xml:space="preserve">assets created </w:t>
      </w:r>
      <w:r>
        <w:rPr>
          <w:lang w:val="en-US"/>
        </w:rPr>
        <w:t xml:space="preserve">earlier </w:t>
      </w:r>
      <w:r w:rsidRPr="00125784">
        <w:rPr>
          <w:lang w:val="en-US"/>
        </w:rPr>
        <w:t>with public money</w:t>
      </w:r>
      <w:r>
        <w:rPr>
          <w:lang w:val="en-US"/>
        </w:rPr>
        <w:t xml:space="preserve"> or from assets/rights granted to the entity by the State,  the obvious question that arises is to what extent are the new minority shareholders (after listing) entitled to claim exclusive rights on the value unlocked (post listing) and whether the State</w:t>
      </w:r>
      <w:r w:rsidR="000C1AC0">
        <w:rPr>
          <w:lang w:val="en-US"/>
        </w:rPr>
        <w:t>,</w:t>
      </w:r>
      <w:r>
        <w:rPr>
          <w:lang w:val="en-US"/>
        </w:rPr>
        <w:t xml:space="preserve"> as the</w:t>
      </w:r>
      <w:r w:rsidRPr="00B04EAC">
        <w:rPr>
          <w:lang w:val="en-US"/>
        </w:rPr>
        <w:t xml:space="preserve"> majority</w:t>
      </w:r>
      <w:r>
        <w:rPr>
          <w:lang w:val="en-US"/>
        </w:rPr>
        <w:t xml:space="preserve"> shareholder</w:t>
      </w:r>
      <w:r w:rsidR="000C1AC0">
        <w:rPr>
          <w:lang w:val="en-US"/>
        </w:rPr>
        <w:t>,</w:t>
      </w:r>
      <w:r w:rsidRPr="00B04EAC">
        <w:rPr>
          <w:lang w:val="en-US"/>
        </w:rPr>
        <w:t xml:space="preserve"> </w:t>
      </w:r>
      <w:r>
        <w:rPr>
          <w:lang w:val="en-US"/>
        </w:rPr>
        <w:t xml:space="preserve">is justified in </w:t>
      </w:r>
      <w:r w:rsidRPr="00B04EAC">
        <w:rPr>
          <w:lang w:val="en-US"/>
        </w:rPr>
        <w:t>protect</w:t>
      </w:r>
      <w:r>
        <w:rPr>
          <w:lang w:val="en-US"/>
        </w:rPr>
        <w:t>ing</w:t>
      </w:r>
      <w:r w:rsidRPr="00B04EAC">
        <w:rPr>
          <w:lang w:val="en-US"/>
        </w:rPr>
        <w:t xml:space="preserve"> </w:t>
      </w:r>
      <w:r>
        <w:rPr>
          <w:lang w:val="en-US"/>
        </w:rPr>
        <w:t>its</w:t>
      </w:r>
      <w:r w:rsidRPr="00B04EAC">
        <w:rPr>
          <w:lang w:val="en-US"/>
        </w:rPr>
        <w:t xml:space="preserve"> own interests</w:t>
      </w:r>
      <w:r>
        <w:rPr>
          <w:lang w:val="en-US"/>
        </w:rPr>
        <w:t xml:space="preserve"> (which </w:t>
      </w:r>
      <w:r w:rsidR="00106C3F">
        <w:rPr>
          <w:lang w:val="en-US"/>
        </w:rPr>
        <w:t xml:space="preserve">would </w:t>
      </w:r>
      <w:r>
        <w:rPr>
          <w:lang w:val="en-US"/>
        </w:rPr>
        <w:t>include broader social interests),</w:t>
      </w:r>
      <w:r w:rsidRPr="00B04EAC">
        <w:rPr>
          <w:lang w:val="en-US"/>
        </w:rPr>
        <w:t xml:space="preserve"> however wrong they may be in the eyes of the minority</w:t>
      </w:r>
      <w:r>
        <w:rPr>
          <w:lang w:val="en-US"/>
        </w:rPr>
        <w:t>.</w:t>
      </w:r>
    </w:p>
    <w:p w:rsidR="0094315A" w:rsidRDefault="0094315A" w:rsidP="0094315A">
      <w:pPr>
        <w:rPr>
          <w:lang w:val="en-US"/>
        </w:rPr>
      </w:pPr>
      <w:r w:rsidRPr="00F016AE">
        <w:rPr>
          <w:lang w:val="en-US"/>
        </w:rPr>
        <w:t>Th</w:t>
      </w:r>
      <w:r w:rsidR="000E152E">
        <w:rPr>
          <w:lang w:val="en-US"/>
        </w:rPr>
        <w:t>e privatization program in India  or, as it is more commonly referred to as the disinvestment program</w:t>
      </w:r>
      <w:r w:rsidR="00541025">
        <w:rPr>
          <w:lang w:val="en-US"/>
        </w:rPr>
        <w:t>,</w:t>
      </w:r>
      <w:r w:rsidR="000E152E">
        <w:rPr>
          <w:lang w:val="en-US"/>
        </w:rPr>
        <w:t xml:space="preserve"> is</w:t>
      </w:r>
      <w:r w:rsidR="00541025">
        <w:rPr>
          <w:lang w:val="en-US"/>
        </w:rPr>
        <w:t xml:space="preserve"> currently</w:t>
      </w:r>
      <w:r w:rsidR="000E152E">
        <w:rPr>
          <w:lang w:val="en-US"/>
        </w:rPr>
        <w:t xml:space="preserve"> going through the throes </w:t>
      </w:r>
      <w:r w:rsidRPr="00F016AE">
        <w:rPr>
          <w:lang w:val="en-US"/>
        </w:rPr>
        <w:t>of th</w:t>
      </w:r>
      <w:r w:rsidR="00EC3485">
        <w:rPr>
          <w:lang w:val="en-US"/>
        </w:rPr>
        <w:t>e minority versus majority</w:t>
      </w:r>
      <w:r w:rsidRPr="00F016AE">
        <w:rPr>
          <w:lang w:val="en-US"/>
        </w:rPr>
        <w:t xml:space="preserve"> debate and the challenge is to find an equitable position between the two extreme positions</w:t>
      </w:r>
      <w:r w:rsidR="00541025">
        <w:rPr>
          <w:lang w:val="en-US"/>
        </w:rPr>
        <w:t xml:space="preserve"> –one </w:t>
      </w:r>
      <w:r w:rsidRPr="00F016AE">
        <w:rPr>
          <w:lang w:val="en-US"/>
        </w:rPr>
        <w:t xml:space="preserve"> where the majority owners view the Company’s objective as being run to serve the public interest and not necessarily to maximize its profits </w:t>
      </w:r>
      <w:r w:rsidR="00EC3485">
        <w:rPr>
          <w:lang w:val="en-US"/>
        </w:rPr>
        <w:t>and the other where</w:t>
      </w:r>
      <w:r w:rsidRPr="00F016AE">
        <w:rPr>
          <w:lang w:val="en-US"/>
        </w:rPr>
        <w:t xml:space="preserve"> the minority owners</w:t>
      </w:r>
      <w:r w:rsidR="00106C3F">
        <w:rPr>
          <w:lang w:val="en-US"/>
        </w:rPr>
        <w:t xml:space="preserve"> go to the extent of</w:t>
      </w:r>
      <w:r w:rsidRPr="00F016AE">
        <w:rPr>
          <w:lang w:val="en-US"/>
        </w:rPr>
        <w:t xml:space="preserve"> </w:t>
      </w:r>
      <w:r w:rsidR="000C1AC0">
        <w:rPr>
          <w:lang w:val="en-US"/>
        </w:rPr>
        <w:t>hold</w:t>
      </w:r>
      <w:r w:rsidR="00106C3F">
        <w:rPr>
          <w:lang w:val="en-US"/>
        </w:rPr>
        <w:t>ing</w:t>
      </w:r>
      <w:r w:rsidRPr="00F016AE">
        <w:rPr>
          <w:lang w:val="en-US"/>
        </w:rPr>
        <w:t xml:space="preserve"> the Board members to be in breach of their fiduciary responsibility when they meekly acquiesce to the decisions of the majority owners.</w:t>
      </w:r>
    </w:p>
    <w:p w:rsidR="000E152E" w:rsidRDefault="000E152E" w:rsidP="0094315A">
      <w:pPr>
        <w:rPr>
          <w:lang w:val="en-US"/>
        </w:rPr>
      </w:pPr>
      <w:r>
        <w:rPr>
          <w:lang w:val="en-US"/>
        </w:rPr>
        <w:t>This paper traces the history</w:t>
      </w:r>
      <w:r w:rsidR="000C1AC0" w:rsidRPr="000C1AC0">
        <w:rPr>
          <w:lang w:val="en-US"/>
        </w:rPr>
        <w:t xml:space="preserve"> </w:t>
      </w:r>
      <w:r w:rsidR="000C1AC0">
        <w:rPr>
          <w:lang w:val="en-US"/>
        </w:rPr>
        <w:t xml:space="preserve">and provides a snap shot of the </w:t>
      </w:r>
      <w:r>
        <w:rPr>
          <w:lang w:val="en-US"/>
        </w:rPr>
        <w:t xml:space="preserve">disinvestment program in India </w:t>
      </w:r>
      <w:r w:rsidR="00541025">
        <w:rPr>
          <w:lang w:val="en-US"/>
        </w:rPr>
        <w:t>and, in</w:t>
      </w:r>
      <w:r>
        <w:rPr>
          <w:lang w:val="en-US"/>
        </w:rPr>
        <w:t xml:space="preserve"> the backdrop of international best practices</w:t>
      </w:r>
      <w:r w:rsidR="00541025">
        <w:rPr>
          <w:lang w:val="en-US"/>
        </w:rPr>
        <w:t xml:space="preserve">, </w:t>
      </w:r>
      <w:r>
        <w:rPr>
          <w:lang w:val="en-US"/>
        </w:rPr>
        <w:t xml:space="preserve">draws </w:t>
      </w:r>
      <w:r w:rsidR="00541025">
        <w:rPr>
          <w:lang w:val="en-US"/>
        </w:rPr>
        <w:t xml:space="preserve">useful </w:t>
      </w:r>
      <w:r>
        <w:rPr>
          <w:lang w:val="en-US"/>
        </w:rPr>
        <w:t>lessons</w:t>
      </w:r>
      <w:r w:rsidR="000C1AC0">
        <w:rPr>
          <w:lang w:val="en-US"/>
        </w:rPr>
        <w:t xml:space="preserve"> and pointers</w:t>
      </w:r>
      <w:r>
        <w:rPr>
          <w:lang w:val="en-US"/>
        </w:rPr>
        <w:t xml:space="preserve"> for </w:t>
      </w:r>
      <w:r w:rsidR="00106C3F">
        <w:rPr>
          <w:lang w:val="en-US"/>
        </w:rPr>
        <w:t>good governance in SOEs in India.</w:t>
      </w:r>
      <w:r>
        <w:rPr>
          <w:lang w:val="en-US"/>
        </w:rPr>
        <w:t xml:space="preserve"> </w:t>
      </w:r>
    </w:p>
    <w:p w:rsidR="000E152E" w:rsidRDefault="000E152E" w:rsidP="0094315A">
      <w:pPr>
        <w:rPr>
          <w:lang w:val="en-US"/>
        </w:rPr>
      </w:pPr>
    </w:p>
    <w:p w:rsidR="0094315A" w:rsidRDefault="000E152E" w:rsidP="0094315A">
      <w:pPr>
        <w:rPr>
          <w:i/>
          <w:lang w:val="en-US"/>
        </w:rPr>
      </w:pPr>
      <w:r w:rsidRPr="000E152E">
        <w:rPr>
          <w:i/>
          <w:lang w:val="en-US"/>
        </w:rPr>
        <w:t xml:space="preserve">Key Words: State owned Enterprises, Disinvestment, Privatization, Corporate Governance, </w:t>
      </w:r>
      <w:r w:rsidR="00541025">
        <w:rPr>
          <w:i/>
          <w:lang w:val="en-US"/>
        </w:rPr>
        <w:t>Minority Shareholders,</w:t>
      </w:r>
      <w:r w:rsidR="00541025" w:rsidRPr="000E152E">
        <w:rPr>
          <w:i/>
          <w:lang w:val="en-US"/>
        </w:rPr>
        <w:t xml:space="preserve"> India</w:t>
      </w:r>
      <w:r w:rsidRPr="000E152E">
        <w:rPr>
          <w:i/>
          <w:lang w:val="en-US"/>
        </w:rPr>
        <w:t>.</w:t>
      </w:r>
    </w:p>
    <w:p w:rsidR="00E1748F" w:rsidRPr="00E1748F" w:rsidRDefault="00E1748F" w:rsidP="00E1748F">
      <w:pPr>
        <w:pStyle w:val="ListParagraph"/>
        <w:numPr>
          <w:ilvl w:val="0"/>
          <w:numId w:val="18"/>
        </w:numPr>
        <w:rPr>
          <w:b/>
          <w:sz w:val="32"/>
          <w:szCs w:val="32"/>
          <w:u w:val="single"/>
        </w:rPr>
      </w:pPr>
      <w:r w:rsidRPr="00E1748F">
        <w:rPr>
          <w:b/>
          <w:sz w:val="32"/>
          <w:szCs w:val="32"/>
          <w:u w:val="single"/>
        </w:rPr>
        <w:lastRenderedPageBreak/>
        <w:t>BACKGROUND</w:t>
      </w:r>
    </w:p>
    <w:p w:rsidR="004F29FA" w:rsidRPr="00FF2170" w:rsidRDefault="004F29FA" w:rsidP="00CB0971">
      <w:r w:rsidRPr="00FF2170">
        <w:t xml:space="preserve">Corporate Governance Literature </w:t>
      </w:r>
      <w:r w:rsidR="00C36CB5" w:rsidRPr="00FF2170">
        <w:t xml:space="preserve">has recognized the fundamental differences in the nature of the agency problems underlying controlled and widely held firms and in the means </w:t>
      </w:r>
      <w:r w:rsidRPr="00FF2170">
        <w:t xml:space="preserve">that are adopted </w:t>
      </w:r>
      <w:r w:rsidR="00C36CB5" w:rsidRPr="00FF2170">
        <w:t xml:space="preserve">for addressing these </w:t>
      </w:r>
      <w:r w:rsidRPr="00FF2170">
        <w:t>problems</w:t>
      </w:r>
      <w:r w:rsidRPr="00FF2170">
        <w:rPr>
          <w:rStyle w:val="FootnoteReference"/>
        </w:rPr>
        <w:footnoteReference w:id="2"/>
      </w:r>
      <w:r w:rsidR="00C36CB5" w:rsidRPr="00FF2170">
        <w:t xml:space="preserve">.  </w:t>
      </w:r>
    </w:p>
    <w:p w:rsidR="004F29FA" w:rsidRPr="00FF2170" w:rsidRDefault="004F29FA" w:rsidP="00CB0971">
      <w:r w:rsidRPr="00FF2170">
        <w:t xml:space="preserve">Furthermore, since the fundamental governance issues </w:t>
      </w:r>
      <w:r w:rsidR="0027429C" w:rsidRPr="00FF2170">
        <w:t>in controlled</w:t>
      </w:r>
      <w:r w:rsidRPr="00FF2170">
        <w:t xml:space="preserve"> and widely held firms differ significantly, the effect of many governance arrangements critically hinge on whether or not the company has </w:t>
      </w:r>
      <w:r w:rsidR="0027429C" w:rsidRPr="00FF2170">
        <w:t>controlling (dominating)</w:t>
      </w:r>
      <w:r w:rsidRPr="00FF2170">
        <w:t xml:space="preserve"> shareholder. Arrangements that enhance investor protection in companies without a controlling shareholder are often inconsequential—or even detrimental—to outside investors in companies</w:t>
      </w:r>
      <w:r w:rsidR="00772072">
        <w:t xml:space="preserve"> that have a</w:t>
      </w:r>
      <w:r w:rsidRPr="00FF2170">
        <w:t xml:space="preserve"> controlling shareholder, and vice versa</w:t>
      </w:r>
      <w:r w:rsidRPr="00FF2170">
        <w:rPr>
          <w:rStyle w:val="FootnoteReference"/>
        </w:rPr>
        <w:footnoteReference w:id="3"/>
      </w:r>
      <w:r w:rsidRPr="00FF2170">
        <w:t xml:space="preserve">. </w:t>
      </w:r>
    </w:p>
    <w:p w:rsidR="0082679B" w:rsidRPr="00FF2170" w:rsidRDefault="0082679B" w:rsidP="00BE6336">
      <w:pPr>
        <w:rPr>
          <w:lang w:val="en-US"/>
        </w:rPr>
      </w:pPr>
      <w:r w:rsidRPr="00FF2170">
        <w:rPr>
          <w:lang w:val="en-US"/>
        </w:rPr>
        <w:t>Most research dealing with corporate governance issues in developed economies has focused on the</w:t>
      </w:r>
      <w:r w:rsidR="00BE6336" w:rsidRPr="00FF2170">
        <w:rPr>
          <w:lang w:val="en-US"/>
        </w:rPr>
        <w:t xml:space="preserve"> traditional principal–agent </w:t>
      </w:r>
      <w:r w:rsidRPr="00FF2170">
        <w:rPr>
          <w:lang w:val="en-US"/>
        </w:rPr>
        <w:t>conflicts whereas</w:t>
      </w:r>
      <w:r w:rsidR="00772072">
        <w:rPr>
          <w:lang w:val="en-US"/>
        </w:rPr>
        <w:t xml:space="preserve">, </w:t>
      </w:r>
      <w:r w:rsidR="00772072" w:rsidRPr="00FF2170">
        <w:rPr>
          <w:lang w:val="en-US"/>
        </w:rPr>
        <w:t>in emerging economies</w:t>
      </w:r>
      <w:r w:rsidR="00772072">
        <w:rPr>
          <w:lang w:val="en-US"/>
        </w:rPr>
        <w:t xml:space="preserve">, </w:t>
      </w:r>
      <w:r w:rsidR="00772072" w:rsidRPr="00FF2170">
        <w:rPr>
          <w:lang w:val="en-US"/>
        </w:rPr>
        <w:t>the</w:t>
      </w:r>
      <w:r w:rsidRPr="00FF2170">
        <w:rPr>
          <w:lang w:val="en-US"/>
        </w:rPr>
        <w:t xml:space="preserve"> principal</w:t>
      </w:r>
      <w:r w:rsidR="00BE6336" w:rsidRPr="00FF2170">
        <w:rPr>
          <w:lang w:val="en-US"/>
        </w:rPr>
        <w:t xml:space="preserve">–principal </w:t>
      </w:r>
      <w:r w:rsidR="00772072" w:rsidRPr="00FF2170">
        <w:rPr>
          <w:lang w:val="en-US"/>
        </w:rPr>
        <w:t>conflict is</w:t>
      </w:r>
      <w:r w:rsidRPr="00FF2170">
        <w:rPr>
          <w:lang w:val="en-US"/>
        </w:rPr>
        <w:t xml:space="preserve"> the</w:t>
      </w:r>
      <w:r w:rsidR="00BE6336" w:rsidRPr="00FF2170">
        <w:rPr>
          <w:lang w:val="en-US"/>
        </w:rPr>
        <w:t xml:space="preserve"> </w:t>
      </w:r>
      <w:r w:rsidRPr="00FF2170">
        <w:rPr>
          <w:lang w:val="en-US"/>
        </w:rPr>
        <w:t>major concern</w:t>
      </w:r>
      <w:r w:rsidR="00BE6336" w:rsidRPr="00FF2170">
        <w:rPr>
          <w:lang w:val="en-US"/>
        </w:rPr>
        <w:t xml:space="preserve"> of corporate governance. </w:t>
      </w:r>
      <w:r w:rsidR="00772072">
        <w:rPr>
          <w:lang w:val="en-US"/>
        </w:rPr>
        <w:t>Such p</w:t>
      </w:r>
      <w:r w:rsidR="00BE6336" w:rsidRPr="00FF2170">
        <w:rPr>
          <w:lang w:val="en-US"/>
        </w:rPr>
        <w:t>rincipal–principal conflicts</w:t>
      </w:r>
      <w:r w:rsidRPr="00FF2170">
        <w:rPr>
          <w:lang w:val="en-US"/>
        </w:rPr>
        <w:t>,</w:t>
      </w:r>
      <w:r w:rsidR="00BE6336" w:rsidRPr="00FF2170">
        <w:rPr>
          <w:lang w:val="en-US"/>
        </w:rPr>
        <w:t xml:space="preserve"> between controlling shareholders and minority shareholders</w:t>
      </w:r>
      <w:r w:rsidRPr="00FF2170">
        <w:rPr>
          <w:lang w:val="en-US"/>
        </w:rPr>
        <w:t>,</w:t>
      </w:r>
      <w:r w:rsidR="00BE6336" w:rsidRPr="00FF2170">
        <w:rPr>
          <w:lang w:val="en-US"/>
        </w:rPr>
        <w:t xml:space="preserve"> result from concentrated ownership, extensive family ownership and control, business group structures, and weak legal protection of minority shareholders</w:t>
      </w:r>
      <w:r w:rsidRPr="00FF2170">
        <w:rPr>
          <w:rStyle w:val="FootnoteReference"/>
          <w:lang w:val="en-US"/>
        </w:rPr>
        <w:footnoteReference w:id="4"/>
      </w:r>
      <w:r w:rsidR="00BE6336" w:rsidRPr="00FF2170">
        <w:rPr>
          <w:lang w:val="en-US"/>
        </w:rPr>
        <w:t>.</w:t>
      </w:r>
    </w:p>
    <w:p w:rsidR="00080E45" w:rsidRPr="00FF2170" w:rsidRDefault="00772072" w:rsidP="00080E45">
      <w:pPr>
        <w:rPr>
          <w:rFonts w:eastAsiaTheme="minorHAnsi" w:cstheme="minorHAnsi"/>
          <w:lang w:val="en-US" w:eastAsia="en-US"/>
        </w:rPr>
      </w:pPr>
      <w:r>
        <w:rPr>
          <w:lang w:val="en-US"/>
        </w:rPr>
        <w:t>P</w:t>
      </w:r>
      <w:r w:rsidR="00BE6336" w:rsidRPr="00FF2170">
        <w:rPr>
          <w:lang w:val="en-US"/>
        </w:rPr>
        <w:t xml:space="preserve">rincipal–principal conflicts alter the dynamics of the corporate governance process and, in turn, </w:t>
      </w:r>
      <w:r w:rsidR="00BE6336" w:rsidRPr="00FF2170">
        <w:rPr>
          <w:rFonts w:cstheme="minorHAnsi"/>
          <w:lang w:val="en-US"/>
        </w:rPr>
        <w:t xml:space="preserve">require remedies </w:t>
      </w:r>
      <w:r w:rsidR="0082679B" w:rsidRPr="00FF2170">
        <w:rPr>
          <w:rFonts w:cstheme="minorHAnsi"/>
          <w:lang w:val="en-US"/>
        </w:rPr>
        <w:t xml:space="preserve">that are </w:t>
      </w:r>
      <w:r w:rsidR="00BE6336" w:rsidRPr="00FF2170">
        <w:rPr>
          <w:rFonts w:cstheme="minorHAnsi"/>
          <w:lang w:val="en-US"/>
        </w:rPr>
        <w:t>different from those that deal with principal–agent conflicts.</w:t>
      </w:r>
      <w:r w:rsidR="00080E45" w:rsidRPr="00FF2170">
        <w:rPr>
          <w:rFonts w:cstheme="minorHAnsi"/>
          <w:lang w:val="en-US"/>
        </w:rPr>
        <w:t xml:space="preserve"> Since the </w:t>
      </w:r>
      <w:r w:rsidR="00080E45" w:rsidRPr="00FF2170">
        <w:rPr>
          <w:rFonts w:eastAsiaTheme="minorHAnsi" w:cstheme="minorHAnsi"/>
          <w:lang w:val="en-US" w:eastAsia="en-US"/>
        </w:rPr>
        <w:t>conflict</w:t>
      </w:r>
      <w:r w:rsidR="0082679B" w:rsidRPr="00FF2170">
        <w:rPr>
          <w:rFonts w:eastAsiaTheme="minorHAnsi" w:cstheme="minorHAnsi"/>
          <w:lang w:val="en-US" w:eastAsia="en-US"/>
        </w:rPr>
        <w:t xml:space="preserve"> actually is between the</w:t>
      </w:r>
      <w:r w:rsidR="00080E45" w:rsidRPr="00FF2170">
        <w:rPr>
          <w:rFonts w:eastAsiaTheme="minorHAnsi" w:cstheme="minorHAnsi"/>
          <w:lang w:val="en-US" w:eastAsia="en-US"/>
        </w:rPr>
        <w:t xml:space="preserve"> </w:t>
      </w:r>
      <w:r w:rsidR="0082679B" w:rsidRPr="00FF2170">
        <w:rPr>
          <w:rFonts w:eastAsiaTheme="minorHAnsi" w:cstheme="minorHAnsi"/>
          <w:lang w:val="en-US" w:eastAsia="en-US"/>
        </w:rPr>
        <w:t>controlling shareholders on the one hand and fragmented, dispersed minority shareholders</w:t>
      </w:r>
      <w:r w:rsidR="00080E45" w:rsidRPr="00FF2170">
        <w:rPr>
          <w:rFonts w:eastAsiaTheme="minorHAnsi" w:cstheme="minorHAnsi"/>
          <w:lang w:val="en-US" w:eastAsia="en-US"/>
        </w:rPr>
        <w:t xml:space="preserve"> </w:t>
      </w:r>
      <w:r w:rsidR="0082679B" w:rsidRPr="00FF2170">
        <w:rPr>
          <w:rFonts w:eastAsiaTheme="minorHAnsi" w:cstheme="minorHAnsi"/>
          <w:lang w:val="en-US" w:eastAsia="en-US"/>
        </w:rPr>
        <w:t>on the other hand</w:t>
      </w:r>
      <w:r w:rsidR="00080E45" w:rsidRPr="00FF2170">
        <w:rPr>
          <w:rFonts w:eastAsiaTheme="minorHAnsi" w:cstheme="minorHAnsi"/>
          <w:lang w:val="en-US" w:eastAsia="en-US"/>
        </w:rPr>
        <w:t>, the redrawing</w:t>
      </w:r>
      <w:r w:rsidR="0082679B" w:rsidRPr="00FF2170">
        <w:rPr>
          <w:rFonts w:eastAsiaTheme="minorHAnsi" w:cstheme="minorHAnsi"/>
          <w:lang w:val="en-US" w:eastAsia="en-US"/>
        </w:rPr>
        <w:t xml:space="preserve"> of the battle lines changes the dynamics of corporate governance in</w:t>
      </w:r>
      <w:r w:rsidR="00080E45" w:rsidRPr="00FF2170">
        <w:rPr>
          <w:rFonts w:eastAsiaTheme="minorHAnsi" w:cstheme="minorHAnsi"/>
          <w:lang w:val="en-US" w:eastAsia="en-US"/>
        </w:rPr>
        <w:t xml:space="preserve"> such </w:t>
      </w:r>
      <w:r>
        <w:rPr>
          <w:rFonts w:eastAsiaTheme="minorHAnsi" w:cstheme="minorHAnsi"/>
          <w:lang w:val="en-US" w:eastAsia="en-US"/>
        </w:rPr>
        <w:t>cases</w:t>
      </w:r>
      <w:r w:rsidR="0082679B" w:rsidRPr="00FF2170">
        <w:rPr>
          <w:rFonts w:eastAsiaTheme="minorHAnsi" w:cstheme="minorHAnsi"/>
          <w:lang w:val="en-US" w:eastAsia="en-US"/>
        </w:rPr>
        <w:t xml:space="preserve">. For </w:t>
      </w:r>
      <w:r w:rsidR="00080E45" w:rsidRPr="00FF2170">
        <w:rPr>
          <w:rFonts w:eastAsiaTheme="minorHAnsi" w:cstheme="minorHAnsi"/>
          <w:lang w:val="en-US" w:eastAsia="en-US"/>
        </w:rPr>
        <w:t>instance, since the controlling</w:t>
      </w:r>
      <w:r w:rsidR="0082679B" w:rsidRPr="00FF2170">
        <w:rPr>
          <w:rFonts w:eastAsiaTheme="minorHAnsi" w:cstheme="minorHAnsi"/>
          <w:lang w:val="en-US" w:eastAsia="en-US"/>
        </w:rPr>
        <w:t xml:space="preserve"> shareholders can decide who is on the board of</w:t>
      </w:r>
      <w:r w:rsidR="00080E45" w:rsidRPr="00FF2170">
        <w:rPr>
          <w:rFonts w:eastAsiaTheme="minorHAnsi" w:cstheme="minorHAnsi"/>
          <w:lang w:val="en-US" w:eastAsia="en-US"/>
        </w:rPr>
        <w:t xml:space="preserve"> </w:t>
      </w:r>
      <w:r w:rsidR="0082679B" w:rsidRPr="00FF2170">
        <w:rPr>
          <w:rFonts w:eastAsiaTheme="minorHAnsi" w:cstheme="minorHAnsi"/>
          <w:lang w:val="en-US" w:eastAsia="en-US"/>
        </w:rPr>
        <w:t>directors</w:t>
      </w:r>
      <w:r w:rsidR="00080E45" w:rsidRPr="00FF2170">
        <w:rPr>
          <w:rFonts w:eastAsiaTheme="minorHAnsi" w:cstheme="minorHAnsi"/>
          <w:lang w:val="en-US" w:eastAsia="en-US"/>
        </w:rPr>
        <w:t xml:space="preserve">, the ability of the </w:t>
      </w:r>
      <w:r w:rsidR="0082679B" w:rsidRPr="00FF2170">
        <w:rPr>
          <w:rFonts w:eastAsiaTheme="minorHAnsi" w:cstheme="minorHAnsi"/>
          <w:lang w:val="en-US" w:eastAsia="en-US"/>
        </w:rPr>
        <w:t>board</w:t>
      </w:r>
      <w:r w:rsidR="00080E45" w:rsidRPr="00FF2170">
        <w:rPr>
          <w:rFonts w:eastAsiaTheme="minorHAnsi" w:cstheme="minorHAnsi"/>
          <w:lang w:val="en-US" w:eastAsia="en-US"/>
        </w:rPr>
        <w:t xml:space="preserve"> of directors</w:t>
      </w:r>
      <w:r w:rsidR="0082679B" w:rsidRPr="00FF2170">
        <w:rPr>
          <w:rFonts w:eastAsiaTheme="minorHAnsi" w:cstheme="minorHAnsi"/>
          <w:lang w:val="en-US" w:eastAsia="en-US"/>
        </w:rPr>
        <w:t xml:space="preserve"> to oversee controlling shareholders</w:t>
      </w:r>
      <w:r w:rsidR="00080E45" w:rsidRPr="00FF2170">
        <w:rPr>
          <w:rFonts w:eastAsiaTheme="minorHAnsi" w:cstheme="minorHAnsi"/>
          <w:lang w:val="en-US" w:eastAsia="en-US"/>
        </w:rPr>
        <w:t xml:space="preserve"> is effectively nullified</w:t>
      </w:r>
      <w:r>
        <w:rPr>
          <w:rFonts w:eastAsiaTheme="minorHAnsi" w:cstheme="minorHAnsi"/>
          <w:lang w:val="en-US" w:eastAsia="en-US"/>
        </w:rPr>
        <w:t xml:space="preserve"> and, </w:t>
      </w:r>
      <w:r w:rsidRPr="00FF2170">
        <w:rPr>
          <w:rFonts w:eastAsiaTheme="minorHAnsi" w:cstheme="minorHAnsi"/>
          <w:lang w:val="en-US" w:eastAsia="en-US"/>
        </w:rPr>
        <w:t>in</w:t>
      </w:r>
      <w:r w:rsidR="009F2097" w:rsidRPr="00FF2170">
        <w:rPr>
          <w:rFonts w:eastAsiaTheme="minorHAnsi" w:cstheme="minorHAnsi"/>
          <w:lang w:val="en-US" w:eastAsia="en-US"/>
        </w:rPr>
        <w:t xml:space="preserve"> an environment where t</w:t>
      </w:r>
      <w:r w:rsidR="0082679B" w:rsidRPr="00FF2170">
        <w:rPr>
          <w:rFonts w:eastAsiaTheme="minorHAnsi" w:cstheme="minorHAnsi"/>
          <w:lang w:val="en-US" w:eastAsia="en-US"/>
        </w:rPr>
        <w:t>he recourse to the courts for the board not overseeing minority shareholders’ interests</w:t>
      </w:r>
      <w:r w:rsidR="00080E45" w:rsidRPr="00FF2170">
        <w:rPr>
          <w:rFonts w:eastAsiaTheme="minorHAnsi" w:cstheme="minorHAnsi"/>
          <w:lang w:val="en-US" w:eastAsia="en-US"/>
        </w:rPr>
        <w:t xml:space="preserve"> </w:t>
      </w:r>
      <w:r w:rsidR="0082679B" w:rsidRPr="00FF2170">
        <w:rPr>
          <w:rFonts w:eastAsiaTheme="minorHAnsi" w:cstheme="minorHAnsi"/>
          <w:lang w:val="en-US" w:eastAsia="en-US"/>
        </w:rPr>
        <w:t>is limited</w:t>
      </w:r>
      <w:r w:rsidR="009F2097" w:rsidRPr="00FF2170">
        <w:rPr>
          <w:rFonts w:eastAsiaTheme="minorHAnsi" w:cstheme="minorHAnsi"/>
          <w:lang w:val="en-US" w:eastAsia="en-US"/>
        </w:rPr>
        <w:t>, this has a serious impact on the rights of the minority shareholders.</w:t>
      </w:r>
    </w:p>
    <w:p w:rsidR="007961E9" w:rsidRDefault="00080E45" w:rsidP="00080E45">
      <w:pPr>
        <w:rPr>
          <w:rFonts w:eastAsiaTheme="minorHAnsi" w:cstheme="minorHAnsi"/>
          <w:lang w:val="en-US" w:eastAsia="en-US"/>
        </w:rPr>
      </w:pPr>
      <w:r w:rsidRPr="00FF2170">
        <w:rPr>
          <w:rFonts w:eastAsiaTheme="minorHAnsi" w:cstheme="minorHAnsi"/>
          <w:lang w:val="en-US" w:eastAsia="en-US"/>
        </w:rPr>
        <w:t>Furthermore, unlike i</w:t>
      </w:r>
      <w:r w:rsidR="0082679B" w:rsidRPr="00FF2170">
        <w:rPr>
          <w:rFonts w:eastAsiaTheme="minorHAnsi" w:cstheme="minorHAnsi"/>
          <w:lang w:val="en-US" w:eastAsia="en-US"/>
        </w:rPr>
        <w:t xml:space="preserve">n developed economies, </w:t>
      </w:r>
      <w:r w:rsidRPr="00FF2170">
        <w:rPr>
          <w:rFonts w:eastAsiaTheme="minorHAnsi" w:cstheme="minorHAnsi"/>
          <w:lang w:val="en-US" w:eastAsia="en-US"/>
        </w:rPr>
        <w:t xml:space="preserve">where </w:t>
      </w:r>
      <w:r w:rsidR="0082679B" w:rsidRPr="00FF2170">
        <w:rPr>
          <w:rFonts w:eastAsiaTheme="minorHAnsi" w:cstheme="minorHAnsi"/>
          <w:lang w:val="en-US" w:eastAsia="en-US"/>
        </w:rPr>
        <w:t xml:space="preserve">concentrated ownership </w:t>
      </w:r>
      <w:r w:rsidR="00BF4093" w:rsidRPr="00FF2170">
        <w:rPr>
          <w:rFonts w:eastAsiaTheme="minorHAnsi" w:cstheme="minorHAnsi"/>
          <w:lang w:val="en-US" w:eastAsia="en-US"/>
        </w:rPr>
        <w:t xml:space="preserve">has been </w:t>
      </w:r>
      <w:r w:rsidR="0082679B" w:rsidRPr="00FF2170">
        <w:rPr>
          <w:rFonts w:eastAsiaTheme="minorHAnsi" w:cstheme="minorHAnsi"/>
          <w:lang w:val="en-US" w:eastAsia="en-US"/>
        </w:rPr>
        <w:t>promoted as</w:t>
      </w:r>
      <w:r w:rsidRPr="00FF2170">
        <w:rPr>
          <w:rFonts w:eastAsiaTheme="minorHAnsi" w:cstheme="minorHAnsi"/>
          <w:lang w:val="en-US" w:eastAsia="en-US"/>
        </w:rPr>
        <w:t xml:space="preserve"> </w:t>
      </w:r>
      <w:r w:rsidR="0082679B" w:rsidRPr="00FF2170">
        <w:rPr>
          <w:rFonts w:eastAsiaTheme="minorHAnsi" w:cstheme="minorHAnsi"/>
          <w:lang w:val="en-US" w:eastAsia="en-US"/>
        </w:rPr>
        <w:t xml:space="preserve">a possible means of addressing traditional </w:t>
      </w:r>
      <w:r w:rsidRPr="00FF2170">
        <w:rPr>
          <w:rFonts w:eastAsiaTheme="minorHAnsi" w:cstheme="minorHAnsi"/>
          <w:lang w:val="en-US" w:eastAsia="en-US"/>
        </w:rPr>
        <w:t>principal-agent</w:t>
      </w:r>
      <w:r w:rsidR="0082679B" w:rsidRPr="00FF2170">
        <w:rPr>
          <w:rFonts w:eastAsiaTheme="minorHAnsi" w:cstheme="minorHAnsi"/>
          <w:lang w:val="en-US" w:eastAsia="en-US"/>
        </w:rPr>
        <w:t xml:space="preserve"> conflicts</w:t>
      </w:r>
      <w:r w:rsidRPr="00FF2170">
        <w:rPr>
          <w:rStyle w:val="FootnoteReference"/>
          <w:rFonts w:eastAsiaTheme="minorHAnsi" w:cstheme="minorHAnsi"/>
          <w:lang w:val="en-US" w:eastAsia="en-US"/>
        </w:rPr>
        <w:footnoteReference w:id="5"/>
      </w:r>
      <w:r w:rsidRPr="00FF2170">
        <w:rPr>
          <w:rFonts w:eastAsiaTheme="minorHAnsi" w:cstheme="minorHAnsi"/>
          <w:lang w:val="en-US" w:eastAsia="en-US"/>
        </w:rPr>
        <w:t>,</w:t>
      </w:r>
      <w:r w:rsidR="0082679B" w:rsidRPr="00FF2170">
        <w:rPr>
          <w:rFonts w:eastAsiaTheme="minorHAnsi" w:cstheme="minorHAnsi"/>
          <w:lang w:val="en-US" w:eastAsia="en-US"/>
        </w:rPr>
        <w:t xml:space="preserve"> in emerging economies</w:t>
      </w:r>
      <w:r w:rsidR="000F6FFC">
        <w:rPr>
          <w:rFonts w:eastAsiaTheme="minorHAnsi" w:cstheme="minorHAnsi"/>
          <w:lang w:val="en-US" w:eastAsia="en-US"/>
        </w:rPr>
        <w:t xml:space="preserve"> where</w:t>
      </w:r>
      <w:r w:rsidR="0082679B" w:rsidRPr="00FF2170">
        <w:rPr>
          <w:rFonts w:eastAsiaTheme="minorHAnsi" w:cstheme="minorHAnsi"/>
          <w:lang w:val="en-US" w:eastAsia="en-US"/>
        </w:rPr>
        <w:t xml:space="preserve"> concentrated ownership is</w:t>
      </w:r>
      <w:r w:rsidRPr="00FF2170">
        <w:rPr>
          <w:rFonts w:eastAsiaTheme="minorHAnsi" w:cstheme="minorHAnsi"/>
          <w:lang w:val="en-US" w:eastAsia="en-US"/>
        </w:rPr>
        <w:t xml:space="preserve"> </w:t>
      </w:r>
      <w:r w:rsidR="0082679B" w:rsidRPr="00FF2170">
        <w:rPr>
          <w:rFonts w:eastAsiaTheme="minorHAnsi" w:cstheme="minorHAnsi"/>
          <w:lang w:val="en-US" w:eastAsia="en-US"/>
        </w:rPr>
        <w:t xml:space="preserve">a </w:t>
      </w:r>
      <w:r w:rsidR="0082679B" w:rsidRPr="00FF2170">
        <w:rPr>
          <w:rFonts w:eastAsiaTheme="minorHAnsi" w:cstheme="minorHAnsi"/>
          <w:iCs/>
          <w:lang w:val="en-US" w:eastAsia="en-US"/>
        </w:rPr>
        <w:t>root cause</w:t>
      </w:r>
      <w:r w:rsidR="0082679B" w:rsidRPr="00FF2170">
        <w:rPr>
          <w:rFonts w:eastAsiaTheme="minorHAnsi" w:cstheme="minorHAnsi"/>
          <w:i/>
          <w:iCs/>
          <w:lang w:val="en-US" w:eastAsia="en-US"/>
        </w:rPr>
        <w:t xml:space="preserve"> </w:t>
      </w:r>
      <w:r w:rsidR="0082679B" w:rsidRPr="00FF2170">
        <w:rPr>
          <w:rFonts w:eastAsiaTheme="minorHAnsi" w:cstheme="minorHAnsi"/>
          <w:lang w:val="en-US" w:eastAsia="en-US"/>
        </w:rPr>
        <w:t xml:space="preserve">of </w:t>
      </w:r>
      <w:r w:rsidR="009F2097" w:rsidRPr="00FF2170">
        <w:rPr>
          <w:rFonts w:eastAsiaTheme="minorHAnsi" w:cstheme="minorHAnsi"/>
          <w:lang w:val="en-US" w:eastAsia="en-US"/>
        </w:rPr>
        <w:t>principal</w:t>
      </w:r>
      <w:r w:rsidRPr="00FF2170">
        <w:rPr>
          <w:rFonts w:eastAsiaTheme="minorHAnsi" w:cstheme="minorHAnsi"/>
          <w:lang w:val="en-US" w:eastAsia="en-US"/>
        </w:rPr>
        <w:t xml:space="preserve">-principal </w:t>
      </w:r>
      <w:r w:rsidR="0082679B" w:rsidRPr="00FF2170">
        <w:rPr>
          <w:rFonts w:eastAsiaTheme="minorHAnsi" w:cstheme="minorHAnsi"/>
          <w:lang w:val="en-US" w:eastAsia="en-US"/>
        </w:rPr>
        <w:t>conflicts</w:t>
      </w:r>
      <w:r w:rsidR="000F6FFC">
        <w:rPr>
          <w:rFonts w:eastAsiaTheme="minorHAnsi" w:cstheme="minorHAnsi"/>
          <w:lang w:val="en-US" w:eastAsia="en-US"/>
        </w:rPr>
        <w:t>,</w:t>
      </w:r>
      <w:r w:rsidR="0082679B" w:rsidRPr="00FF2170">
        <w:rPr>
          <w:rFonts w:eastAsiaTheme="minorHAnsi" w:cstheme="minorHAnsi"/>
          <w:lang w:val="en-US" w:eastAsia="en-US"/>
        </w:rPr>
        <w:t xml:space="preserve"> increasing </w:t>
      </w:r>
      <w:r w:rsidR="00BF4093" w:rsidRPr="00FF2170">
        <w:rPr>
          <w:rFonts w:eastAsiaTheme="minorHAnsi" w:cstheme="minorHAnsi"/>
          <w:lang w:val="en-US" w:eastAsia="en-US"/>
        </w:rPr>
        <w:t xml:space="preserve">the </w:t>
      </w:r>
      <w:r w:rsidR="0082679B" w:rsidRPr="00FF2170">
        <w:rPr>
          <w:rFonts w:eastAsiaTheme="minorHAnsi" w:cstheme="minorHAnsi"/>
          <w:lang w:val="en-US" w:eastAsia="en-US"/>
        </w:rPr>
        <w:t>ownership concentration cannot be a remedy</w:t>
      </w:r>
      <w:r w:rsidR="009F2097" w:rsidRPr="00FF2170">
        <w:rPr>
          <w:rFonts w:eastAsiaTheme="minorHAnsi" w:cstheme="minorHAnsi"/>
          <w:lang w:val="en-US" w:eastAsia="en-US"/>
        </w:rPr>
        <w:t xml:space="preserve"> to corporate governance malaise</w:t>
      </w:r>
      <w:r w:rsidR="000F6FFC">
        <w:rPr>
          <w:rFonts w:eastAsiaTheme="minorHAnsi" w:cstheme="minorHAnsi"/>
          <w:lang w:val="en-US" w:eastAsia="en-US"/>
        </w:rPr>
        <w:t>-</w:t>
      </w:r>
      <w:r w:rsidR="00772072">
        <w:rPr>
          <w:rFonts w:eastAsiaTheme="minorHAnsi" w:cstheme="minorHAnsi"/>
          <w:lang w:val="en-US" w:eastAsia="en-US"/>
        </w:rPr>
        <w:t xml:space="preserve"> on the other hand it</w:t>
      </w:r>
      <w:r w:rsidR="0082679B" w:rsidRPr="00FF2170">
        <w:rPr>
          <w:rFonts w:eastAsiaTheme="minorHAnsi" w:cstheme="minorHAnsi"/>
          <w:lang w:val="en-US" w:eastAsia="en-US"/>
        </w:rPr>
        <w:t xml:space="preserve"> </w:t>
      </w:r>
      <w:r w:rsidR="0006550A" w:rsidRPr="00FF2170">
        <w:rPr>
          <w:rFonts w:eastAsiaTheme="minorHAnsi" w:cstheme="minorHAnsi"/>
          <w:lang w:val="en-US" w:eastAsia="en-US"/>
        </w:rPr>
        <w:t xml:space="preserve"> may</w:t>
      </w:r>
      <w:r w:rsidR="00772072">
        <w:rPr>
          <w:rFonts w:eastAsiaTheme="minorHAnsi" w:cstheme="minorHAnsi"/>
          <w:lang w:val="en-US" w:eastAsia="en-US"/>
        </w:rPr>
        <w:t xml:space="preserve"> actually</w:t>
      </w:r>
      <w:r w:rsidR="0082679B" w:rsidRPr="00FF2170">
        <w:rPr>
          <w:rFonts w:eastAsiaTheme="minorHAnsi" w:cstheme="minorHAnsi"/>
          <w:lang w:val="en-US" w:eastAsia="en-US"/>
        </w:rPr>
        <w:t xml:space="preserve"> make things worse</w:t>
      </w:r>
      <w:r w:rsidRPr="00FF2170">
        <w:rPr>
          <w:rStyle w:val="FootnoteReference"/>
          <w:rFonts w:eastAsiaTheme="minorHAnsi" w:cstheme="minorHAnsi"/>
          <w:lang w:val="en-US" w:eastAsia="en-US"/>
        </w:rPr>
        <w:footnoteReference w:id="6"/>
      </w:r>
      <w:r w:rsidR="0082679B" w:rsidRPr="00FF2170">
        <w:rPr>
          <w:rFonts w:eastAsiaTheme="minorHAnsi" w:cstheme="minorHAnsi"/>
          <w:lang w:val="en-US" w:eastAsia="en-US"/>
        </w:rPr>
        <w:t xml:space="preserve">  </w:t>
      </w:r>
    </w:p>
    <w:p w:rsidR="00BE6336" w:rsidRPr="00FF2170" w:rsidRDefault="0082679B" w:rsidP="00080E45">
      <w:pPr>
        <w:rPr>
          <w:rFonts w:cstheme="minorHAnsi"/>
        </w:rPr>
      </w:pPr>
      <w:r w:rsidRPr="00FF2170">
        <w:rPr>
          <w:rFonts w:eastAsiaTheme="minorHAnsi" w:cstheme="minorHAnsi"/>
          <w:lang w:val="en-US" w:eastAsia="en-US"/>
        </w:rPr>
        <w:lastRenderedPageBreak/>
        <w:t>Th</w:t>
      </w:r>
      <w:r w:rsidR="00BF4093" w:rsidRPr="00FF2170">
        <w:rPr>
          <w:rFonts w:eastAsiaTheme="minorHAnsi" w:cstheme="minorHAnsi"/>
          <w:lang w:val="en-US" w:eastAsia="en-US"/>
        </w:rPr>
        <w:t xml:space="preserve">e </w:t>
      </w:r>
      <w:r w:rsidRPr="00FF2170">
        <w:rPr>
          <w:rFonts w:eastAsiaTheme="minorHAnsi" w:cstheme="minorHAnsi"/>
          <w:lang w:val="en-US" w:eastAsia="en-US"/>
        </w:rPr>
        <w:t xml:space="preserve"> pitting of controlling shareholders against minority shareholders often results in</w:t>
      </w:r>
      <w:r w:rsidR="00080E45" w:rsidRPr="00FF2170">
        <w:rPr>
          <w:rFonts w:eastAsiaTheme="minorHAnsi" w:cstheme="minorHAnsi"/>
          <w:lang w:val="en-US" w:eastAsia="en-US"/>
        </w:rPr>
        <w:t xml:space="preserve"> </w:t>
      </w:r>
      <w:r w:rsidRPr="00FF2170">
        <w:rPr>
          <w:rFonts w:eastAsiaTheme="minorHAnsi" w:cstheme="minorHAnsi"/>
          <w:lang w:val="en-US" w:eastAsia="en-US"/>
        </w:rPr>
        <w:t>the expropriation of the value from minority shareholders</w:t>
      </w:r>
      <w:r w:rsidR="009F2097" w:rsidRPr="00FF2170">
        <w:rPr>
          <w:rFonts w:eastAsiaTheme="minorHAnsi" w:cstheme="minorHAnsi"/>
          <w:lang w:val="en-US" w:eastAsia="en-US"/>
        </w:rPr>
        <w:t xml:space="preserve"> and </w:t>
      </w:r>
      <w:r w:rsidRPr="00FF2170">
        <w:rPr>
          <w:rFonts w:eastAsiaTheme="minorHAnsi" w:cstheme="minorHAnsi"/>
          <w:lang w:val="en-US" w:eastAsia="en-US"/>
        </w:rPr>
        <w:t>transfer</w:t>
      </w:r>
      <w:r w:rsidR="009F2097" w:rsidRPr="00FF2170">
        <w:rPr>
          <w:rFonts w:eastAsiaTheme="minorHAnsi" w:cstheme="minorHAnsi"/>
          <w:lang w:val="en-US" w:eastAsia="en-US"/>
        </w:rPr>
        <w:t xml:space="preserve">s </w:t>
      </w:r>
      <w:r w:rsidR="00080E45" w:rsidRPr="00FF2170">
        <w:rPr>
          <w:rFonts w:eastAsiaTheme="minorHAnsi" w:cstheme="minorHAnsi"/>
          <w:lang w:val="en-US" w:eastAsia="en-US"/>
        </w:rPr>
        <w:t xml:space="preserve"> </w:t>
      </w:r>
      <w:r w:rsidRPr="00FF2170">
        <w:rPr>
          <w:rFonts w:eastAsiaTheme="minorHAnsi" w:cstheme="minorHAnsi"/>
          <w:lang w:val="en-US" w:eastAsia="en-US"/>
        </w:rPr>
        <w:t>value from the minority shareholders to the majority or controlling shareholders .</w:t>
      </w:r>
    </w:p>
    <w:p w:rsidR="0027429C" w:rsidRPr="00FF2170" w:rsidRDefault="0027429C" w:rsidP="0027429C">
      <w:r w:rsidRPr="00FF2170">
        <w:t>There is enough anecdotal evidence that point</w:t>
      </w:r>
      <w:r w:rsidR="009F2097" w:rsidRPr="00FF2170">
        <w:t>s</w:t>
      </w:r>
      <w:r w:rsidRPr="00FF2170">
        <w:t xml:space="preserve"> to the</w:t>
      </w:r>
      <w:r w:rsidR="009F2097" w:rsidRPr="00FF2170">
        <w:t xml:space="preserve"> </w:t>
      </w:r>
      <w:r w:rsidR="00D41C61" w:rsidRPr="00FF2170">
        <w:t>dysfunctional role</w:t>
      </w:r>
      <w:r w:rsidRPr="00FF2170">
        <w:t xml:space="preserve"> of </w:t>
      </w:r>
      <w:r w:rsidR="009F2097" w:rsidRPr="00FF2170">
        <w:t xml:space="preserve">the </w:t>
      </w:r>
      <w:r w:rsidRPr="00FF2170">
        <w:t>dominating shareholder</w:t>
      </w:r>
      <w:r w:rsidR="00BF4093" w:rsidRPr="00FF2170">
        <w:t>,</w:t>
      </w:r>
      <w:r w:rsidRPr="00FF2170">
        <w:t xml:space="preserve"> commonly seen in Indian business organizations</w:t>
      </w:r>
      <w:r w:rsidR="00BF4093" w:rsidRPr="00FF2170">
        <w:t>,</w:t>
      </w:r>
      <w:r w:rsidRPr="00FF2170">
        <w:t xml:space="preserve"> as well as ‘prescriptive’ solutions to reduce the likelihood of such occurrence</w:t>
      </w:r>
      <w:r w:rsidRPr="00FF2170">
        <w:rPr>
          <w:rStyle w:val="FootnoteReference"/>
        </w:rPr>
        <w:footnoteReference w:id="7"/>
      </w:r>
      <w:r w:rsidRPr="00FF2170">
        <w:t>.</w:t>
      </w:r>
    </w:p>
    <w:p w:rsidR="005D7D75" w:rsidRDefault="00285D30" w:rsidP="00285D30">
      <w:pPr>
        <w:rPr>
          <w:lang w:val="en-US"/>
        </w:rPr>
      </w:pPr>
      <w:r w:rsidRPr="005B616D">
        <w:t>The presence of the State as a dominant shareholder adds additional complexity to the corporate governance challenges in an organization</w:t>
      </w:r>
      <w:r w:rsidR="0002643C">
        <w:t xml:space="preserve"> as the State is likely t</w:t>
      </w:r>
      <w:r w:rsidR="0002643C" w:rsidRPr="0002643C">
        <w:t xml:space="preserve">o </w:t>
      </w:r>
      <w:r w:rsidR="0002643C" w:rsidRPr="0002643C">
        <w:rPr>
          <w:lang w:val="en-US"/>
        </w:rPr>
        <w:t xml:space="preserve">have different goals than the classic overreaching private shareholder who </w:t>
      </w:r>
      <w:r w:rsidR="00E267A1" w:rsidRPr="0002643C">
        <w:rPr>
          <w:lang w:val="en-US"/>
        </w:rPr>
        <w:t>seeks private</w:t>
      </w:r>
      <w:r w:rsidR="0002643C" w:rsidRPr="0002643C">
        <w:rPr>
          <w:lang w:val="en-US"/>
        </w:rPr>
        <w:t xml:space="preserve"> gain</w:t>
      </w:r>
      <w:r w:rsidR="005B616D">
        <w:rPr>
          <w:rStyle w:val="FootnoteReference"/>
        </w:rPr>
        <w:footnoteReference w:id="8"/>
      </w:r>
      <w:r w:rsidR="0002643C">
        <w:rPr>
          <w:lang w:val="en-US"/>
        </w:rPr>
        <w:t>.</w:t>
      </w:r>
      <w:r w:rsidR="007206E1">
        <w:rPr>
          <w:lang w:val="en-US"/>
        </w:rPr>
        <w:t xml:space="preserve"> </w:t>
      </w:r>
      <w:r w:rsidR="00BF7A15">
        <w:rPr>
          <w:lang w:val="en-US"/>
        </w:rPr>
        <w:t xml:space="preserve"> A </w:t>
      </w:r>
      <w:r w:rsidR="005D7D75">
        <w:rPr>
          <w:lang w:val="en-US"/>
        </w:rPr>
        <w:t xml:space="preserve">2000 </w:t>
      </w:r>
      <w:r w:rsidR="00BF7A15">
        <w:rPr>
          <w:lang w:val="en-US"/>
        </w:rPr>
        <w:t xml:space="preserve">study </w:t>
      </w:r>
      <w:r w:rsidR="00BF7A15">
        <w:rPr>
          <w:rStyle w:val="FootnoteReference"/>
          <w:lang w:val="en-US"/>
        </w:rPr>
        <w:footnoteReference w:id="9"/>
      </w:r>
      <w:r w:rsidR="00BF7A15">
        <w:rPr>
          <w:lang w:val="en-US"/>
        </w:rPr>
        <w:t xml:space="preserve"> of the</w:t>
      </w:r>
      <w:r w:rsidR="00BF7A15" w:rsidRPr="00BF7A15">
        <w:rPr>
          <w:lang w:val="en-US"/>
        </w:rPr>
        <w:t xml:space="preserve"> evolution of the control structure for a large sample of privatized firms in OECD</w:t>
      </w:r>
      <w:r w:rsidR="00BF7A15">
        <w:rPr>
          <w:lang w:val="en-US"/>
        </w:rPr>
        <w:t xml:space="preserve"> </w:t>
      </w:r>
      <w:r w:rsidR="00BF7A15" w:rsidRPr="00BF7A15">
        <w:rPr>
          <w:lang w:val="en-US"/>
        </w:rPr>
        <w:t>countries</w:t>
      </w:r>
      <w:r w:rsidR="00BF7A15">
        <w:rPr>
          <w:lang w:val="en-US"/>
        </w:rPr>
        <w:t xml:space="preserve"> found</w:t>
      </w:r>
      <w:r w:rsidR="00BF7A15" w:rsidRPr="00BF7A15">
        <w:rPr>
          <w:lang w:val="en-US"/>
        </w:rPr>
        <w:t xml:space="preserve"> evidence broadly consistent with the concept of “reluctant privatization”, defined</w:t>
      </w:r>
      <w:r w:rsidR="00BF7A15">
        <w:rPr>
          <w:lang w:val="en-US"/>
        </w:rPr>
        <w:t xml:space="preserve"> </w:t>
      </w:r>
      <w:r w:rsidR="00BF7A15" w:rsidRPr="00BF7A15">
        <w:rPr>
          <w:lang w:val="en-US"/>
        </w:rPr>
        <w:t>as the transfer of ownership rights in State-owned enterprises without a corresponding transfer of</w:t>
      </w:r>
      <w:r w:rsidR="00BF7A15">
        <w:rPr>
          <w:lang w:val="en-US"/>
        </w:rPr>
        <w:t xml:space="preserve"> </w:t>
      </w:r>
      <w:r w:rsidR="00BF7A15" w:rsidRPr="00BF7A15">
        <w:rPr>
          <w:lang w:val="en-US"/>
        </w:rPr>
        <w:t>control rights</w:t>
      </w:r>
      <w:r w:rsidR="00BF7A15">
        <w:rPr>
          <w:rStyle w:val="FootnoteReference"/>
          <w:lang w:val="en-US"/>
        </w:rPr>
        <w:footnoteReference w:id="10"/>
      </w:r>
      <w:r w:rsidR="007961E9">
        <w:rPr>
          <w:lang w:val="en-US"/>
        </w:rPr>
        <w:t>,</w:t>
      </w:r>
      <w:r w:rsidR="00BF7A15">
        <w:rPr>
          <w:lang w:val="en-US"/>
        </w:rPr>
        <w:t xml:space="preserve"> and showed that </w:t>
      </w:r>
      <w:r w:rsidR="00BF7A15" w:rsidRPr="00BF7A15">
        <w:rPr>
          <w:lang w:val="en-US"/>
        </w:rPr>
        <w:t>the picture</w:t>
      </w:r>
      <w:r w:rsidR="005D7D75">
        <w:rPr>
          <w:lang w:val="en-US"/>
        </w:rPr>
        <w:t xml:space="preserve"> on the state ownership of enterprises </w:t>
      </w:r>
      <w:r w:rsidR="00BF7A15" w:rsidRPr="00BF7A15">
        <w:rPr>
          <w:lang w:val="en-US"/>
        </w:rPr>
        <w:t xml:space="preserve">looks </w:t>
      </w:r>
      <w:r w:rsidR="005D7D75">
        <w:rPr>
          <w:lang w:val="en-US"/>
        </w:rPr>
        <w:t xml:space="preserve">significantly </w:t>
      </w:r>
      <w:r w:rsidR="00BF7A15" w:rsidRPr="00BF7A15">
        <w:rPr>
          <w:lang w:val="en-US"/>
        </w:rPr>
        <w:t xml:space="preserve"> different when indirect voting rights are</w:t>
      </w:r>
      <w:r w:rsidR="00BF7A15">
        <w:rPr>
          <w:lang w:val="en-US"/>
        </w:rPr>
        <w:t xml:space="preserve"> </w:t>
      </w:r>
      <w:r w:rsidR="00BF7A15" w:rsidRPr="00BF7A15">
        <w:rPr>
          <w:lang w:val="en-US"/>
        </w:rPr>
        <w:t>accounted</w:t>
      </w:r>
      <w:r w:rsidR="00C94CB3">
        <w:rPr>
          <w:lang w:val="en-US"/>
        </w:rPr>
        <w:t xml:space="preserve"> for;</w:t>
      </w:r>
      <w:r w:rsidR="00BF7A15">
        <w:rPr>
          <w:lang w:val="en-US"/>
        </w:rPr>
        <w:t xml:space="preserve"> based on the evidence that  </w:t>
      </w:r>
      <w:r w:rsidR="005D7D75">
        <w:rPr>
          <w:lang w:val="en-US"/>
        </w:rPr>
        <w:t>by</w:t>
      </w:r>
      <w:r w:rsidR="00BF7A15" w:rsidRPr="00BF7A15">
        <w:rPr>
          <w:lang w:val="en-US"/>
        </w:rPr>
        <w:t xml:space="preserve"> employ</w:t>
      </w:r>
      <w:r w:rsidR="005D7D75">
        <w:rPr>
          <w:lang w:val="en-US"/>
        </w:rPr>
        <w:t>ing</w:t>
      </w:r>
      <w:r w:rsidR="00BF7A15" w:rsidRPr="00BF7A15">
        <w:rPr>
          <w:lang w:val="en-US"/>
        </w:rPr>
        <w:t xml:space="preserve"> pyramids</w:t>
      </w:r>
      <w:r w:rsidR="00BF7A15">
        <w:rPr>
          <w:lang w:val="en-US"/>
        </w:rPr>
        <w:t xml:space="preserve"> </w:t>
      </w:r>
      <w:r w:rsidR="00BF7A15" w:rsidRPr="00BF7A15">
        <w:rPr>
          <w:lang w:val="en-US"/>
        </w:rPr>
        <w:t>and dual-class share structures to retain majority control</w:t>
      </w:r>
      <w:r w:rsidR="00E267A1">
        <w:rPr>
          <w:lang w:val="en-US"/>
        </w:rPr>
        <w:t>,</w:t>
      </w:r>
      <w:r w:rsidR="00C94CB3">
        <w:rPr>
          <w:lang w:val="en-US"/>
        </w:rPr>
        <w:t xml:space="preserve"> the study </w:t>
      </w:r>
      <w:r w:rsidR="005D7D75">
        <w:rPr>
          <w:lang w:val="en-US"/>
        </w:rPr>
        <w:t xml:space="preserve">found that the government is the largest ultimate shareholder </w:t>
      </w:r>
      <w:r w:rsidR="00BF7A15" w:rsidRPr="00BF7A15">
        <w:rPr>
          <w:lang w:val="en-US"/>
        </w:rPr>
        <w:t xml:space="preserve"> in more than 50% of privatized</w:t>
      </w:r>
      <w:r w:rsidR="00BF7A15">
        <w:rPr>
          <w:lang w:val="en-US"/>
        </w:rPr>
        <w:t xml:space="preserve"> </w:t>
      </w:r>
      <w:r w:rsidR="00BF7A15" w:rsidRPr="00BF7A15">
        <w:rPr>
          <w:lang w:val="en-US"/>
        </w:rPr>
        <w:t>firms</w:t>
      </w:r>
      <w:r w:rsidR="005D7D75">
        <w:rPr>
          <w:lang w:val="en-US"/>
        </w:rPr>
        <w:t>.</w:t>
      </w:r>
    </w:p>
    <w:p w:rsidR="005D7D75" w:rsidRDefault="00285D30" w:rsidP="00285D30">
      <w:r w:rsidRPr="005B616D">
        <w:t xml:space="preserve"> </w:t>
      </w:r>
      <w:r w:rsidR="005D7D75">
        <w:t xml:space="preserve">In addition to direct and indirect shareholding </w:t>
      </w:r>
      <w:r w:rsidR="005B616D">
        <w:t xml:space="preserve"> </w:t>
      </w:r>
      <w:r w:rsidRPr="005B616D">
        <w:t xml:space="preserve"> the State holds many</w:t>
      </w:r>
      <w:r w:rsidR="005B616D" w:rsidRPr="005B616D">
        <w:t xml:space="preserve"> different</w:t>
      </w:r>
      <w:r w:rsidRPr="005B616D">
        <w:t xml:space="preserve"> levers – as </w:t>
      </w:r>
      <w:r w:rsidR="005B616D" w:rsidRPr="005B616D">
        <w:t>controlling</w:t>
      </w:r>
      <w:r w:rsidRPr="005B616D">
        <w:t xml:space="preserve"> shareholder, as present and potential future regulator, and sometimes as lender and creditor</w:t>
      </w:r>
      <w:r w:rsidR="005D7D75">
        <w:t>. P</w:t>
      </w:r>
      <w:r w:rsidRPr="005B616D">
        <w:t xml:space="preserve">otentially, it has much larger role than a regular </w:t>
      </w:r>
      <w:r w:rsidR="00C94CB3" w:rsidRPr="005B616D">
        <w:t>controlling</w:t>
      </w:r>
      <w:r w:rsidR="00C94CB3">
        <w:t xml:space="preserve"> (dominating)</w:t>
      </w:r>
      <w:r w:rsidRPr="005B616D">
        <w:t xml:space="preserve"> shareholder</w:t>
      </w:r>
      <w:r w:rsidR="005B616D" w:rsidRPr="005B616D">
        <w:t xml:space="preserve"> and</w:t>
      </w:r>
      <w:r w:rsidRPr="005B616D">
        <w:t xml:space="preserve"> conflicts between the controlling shareholder and the minority shareholders are much harder to monitor </w:t>
      </w:r>
      <w:r w:rsidR="005B616D">
        <w:t xml:space="preserve">in </w:t>
      </w:r>
      <w:r w:rsidR="00C94CB3">
        <w:t xml:space="preserve">such </w:t>
      </w:r>
      <w:r w:rsidR="005B616D">
        <w:t>cases</w:t>
      </w:r>
      <w:r w:rsidRPr="005B616D">
        <w:t>. For regular  controlling shareholders, the conflicts of interests</w:t>
      </w:r>
      <w:r w:rsidR="00E57CCA">
        <w:t>,</w:t>
      </w:r>
      <w:r w:rsidRPr="005B616D">
        <w:t xml:space="preserve"> </w:t>
      </w:r>
      <w:r w:rsidR="00E57CCA">
        <w:t xml:space="preserve">between the dominant and minority shareholders, </w:t>
      </w:r>
      <w:r w:rsidRPr="005B616D">
        <w:t>are predominantly financial</w:t>
      </w:r>
      <w:r w:rsidR="005B616D" w:rsidRPr="005B616D">
        <w:t xml:space="preserve"> in nature </w:t>
      </w:r>
      <w:r w:rsidRPr="005B616D">
        <w:t xml:space="preserve"> where such conflicts arise in</w:t>
      </w:r>
      <w:r w:rsidR="007961E9">
        <w:t xml:space="preserve"> the</w:t>
      </w:r>
      <w:r w:rsidRPr="005B616D">
        <w:t xml:space="preserve"> so-called “self-dealing” transactions – where the controlled entity deals either directly with the controlling shareholders or with another entity in which the controlling shareholder has an </w:t>
      </w:r>
      <w:r w:rsidRPr="005B616D">
        <w:lastRenderedPageBreak/>
        <w:t xml:space="preserve">interest – or in “conflicts” transactions, where the controlling shareholder stands to receive some financial benefit that is not proportionally shared with the minority shareholders. </w:t>
      </w:r>
    </w:p>
    <w:p w:rsidR="007961E9" w:rsidRDefault="005D7D75" w:rsidP="00285D30">
      <w:r>
        <w:t>S</w:t>
      </w:r>
      <w:r w:rsidR="00285D30" w:rsidRPr="005B616D">
        <w:t xml:space="preserve">elf-dealing </w:t>
      </w:r>
      <w:r w:rsidRPr="005B616D">
        <w:t>transaction</w:t>
      </w:r>
      <w:r>
        <w:t xml:space="preserve">s </w:t>
      </w:r>
      <w:r w:rsidR="00C94CB3">
        <w:t>and conflicts transactions</w:t>
      </w:r>
      <w:r w:rsidR="00285D30" w:rsidRPr="005B616D">
        <w:t xml:space="preserve"> </w:t>
      </w:r>
      <w:r>
        <w:t xml:space="preserve">can be </w:t>
      </w:r>
      <w:r w:rsidR="00285D30" w:rsidRPr="005B616D">
        <w:t>subject</w:t>
      </w:r>
      <w:r>
        <w:t>ed</w:t>
      </w:r>
      <w:r w:rsidR="00285D30" w:rsidRPr="005B616D">
        <w:t xml:space="preserve"> to </w:t>
      </w:r>
      <w:r w:rsidR="005B616D" w:rsidRPr="005B616D">
        <w:t xml:space="preserve">objective </w:t>
      </w:r>
      <w:r w:rsidR="00285D30" w:rsidRPr="005B616D">
        <w:t xml:space="preserve">review for </w:t>
      </w:r>
      <w:r w:rsidR="00E267A1" w:rsidRPr="005B616D">
        <w:t>their fairness</w:t>
      </w:r>
      <w:r w:rsidR="00E57CCA">
        <w:rPr>
          <w:rStyle w:val="FootnoteReference"/>
        </w:rPr>
        <w:footnoteReference w:id="11"/>
      </w:r>
      <w:r>
        <w:t xml:space="preserve">. </w:t>
      </w:r>
    </w:p>
    <w:p w:rsidR="009655D2" w:rsidRDefault="005D7D75" w:rsidP="00285D30">
      <w:pPr>
        <w:rPr>
          <w:i/>
        </w:rPr>
      </w:pPr>
      <w:r>
        <w:t>However, o</w:t>
      </w:r>
      <w:r w:rsidR="005B616D" w:rsidRPr="009655D2">
        <w:t>n the other hand</w:t>
      </w:r>
      <w:r w:rsidR="00821B8B">
        <w:t xml:space="preserve"> </w:t>
      </w:r>
      <w:r>
        <w:t>since</w:t>
      </w:r>
      <w:r w:rsidR="005B616D" w:rsidRPr="009655D2">
        <w:t xml:space="preserve"> t</w:t>
      </w:r>
      <w:r w:rsidR="00285D30" w:rsidRPr="009655D2">
        <w:t xml:space="preserve">he </w:t>
      </w:r>
      <w:r w:rsidR="005B616D" w:rsidRPr="009655D2">
        <w:t>State</w:t>
      </w:r>
      <w:r w:rsidR="00285D30" w:rsidRPr="009655D2">
        <w:t xml:space="preserve"> has a wide variety of interests other than financial </w:t>
      </w:r>
      <w:r w:rsidR="00821B8B" w:rsidRPr="009655D2">
        <w:t>ones,</w:t>
      </w:r>
      <w:r w:rsidR="00285D30" w:rsidRPr="009655D2">
        <w:t xml:space="preserve"> the predominant worry, when the </w:t>
      </w:r>
      <w:r w:rsidR="009655D2" w:rsidRPr="009655D2">
        <w:t>State is</w:t>
      </w:r>
      <w:r w:rsidR="00285D30" w:rsidRPr="009655D2">
        <w:t xml:space="preserve"> the controlling shareholder</w:t>
      </w:r>
      <w:r w:rsidR="00E267A1">
        <w:t>,</w:t>
      </w:r>
      <w:r w:rsidR="00285D30" w:rsidRPr="009655D2">
        <w:t xml:space="preserve"> </w:t>
      </w:r>
      <w:r w:rsidR="005B616D" w:rsidRPr="009655D2">
        <w:t xml:space="preserve">is unlikely to be whether or </w:t>
      </w:r>
      <w:r w:rsidR="009655D2" w:rsidRPr="009655D2">
        <w:t>not the</w:t>
      </w:r>
      <w:r w:rsidR="00285D30" w:rsidRPr="009655D2">
        <w:t xml:space="preserve"> </w:t>
      </w:r>
      <w:r w:rsidR="005B616D" w:rsidRPr="009655D2">
        <w:t>State</w:t>
      </w:r>
      <w:r w:rsidR="00285D30" w:rsidRPr="009655D2">
        <w:t xml:space="preserve"> wants to enrich itself financially at the expense of the minority shareholders but </w:t>
      </w:r>
      <w:r w:rsidR="009655D2" w:rsidRPr="009655D2">
        <w:t>whether the</w:t>
      </w:r>
      <w:r w:rsidR="00285D30" w:rsidRPr="009655D2">
        <w:t xml:space="preserve"> </w:t>
      </w:r>
      <w:r w:rsidR="005B616D" w:rsidRPr="009655D2">
        <w:t>State</w:t>
      </w:r>
      <w:r w:rsidR="00285D30" w:rsidRPr="009655D2">
        <w:t xml:space="preserve"> will induce the organization to pursue </w:t>
      </w:r>
      <w:r w:rsidR="005B616D" w:rsidRPr="009655D2">
        <w:t xml:space="preserve">alternate </w:t>
      </w:r>
      <w:r w:rsidR="00285D30" w:rsidRPr="009655D2">
        <w:t xml:space="preserve">political or policy goals </w:t>
      </w:r>
      <w:r w:rsidR="00821B8B">
        <w:t xml:space="preserve">other </w:t>
      </w:r>
      <w:r w:rsidR="00821B8B" w:rsidRPr="009655D2">
        <w:t>than</w:t>
      </w:r>
      <w:r w:rsidR="00285D30" w:rsidRPr="009655D2">
        <w:t xml:space="preserve"> maximiz</w:t>
      </w:r>
      <w:r w:rsidR="00821B8B">
        <w:t>ing</w:t>
      </w:r>
      <w:r w:rsidR="00285D30" w:rsidRPr="009655D2">
        <w:t xml:space="preserve"> its value for the proportionate benefit of all its shareholders. </w:t>
      </w:r>
      <w:r w:rsidR="00E57CCA" w:rsidRPr="009655D2">
        <w:t>Under such</w:t>
      </w:r>
      <w:r w:rsidR="009655D2" w:rsidRPr="009655D2">
        <w:t xml:space="preserve"> </w:t>
      </w:r>
      <w:r w:rsidR="00E57CCA" w:rsidRPr="009655D2">
        <w:t xml:space="preserve">circumstances the task of protecting the interest of minority shareholders </w:t>
      </w:r>
      <w:r w:rsidR="009655D2" w:rsidRPr="009655D2">
        <w:t xml:space="preserve">becomes </w:t>
      </w:r>
      <w:r w:rsidR="00E57CCA" w:rsidRPr="009655D2">
        <w:t xml:space="preserve">quite </w:t>
      </w:r>
      <w:r w:rsidR="009655D2" w:rsidRPr="009655D2">
        <w:t>challenging</w:t>
      </w:r>
      <w:r w:rsidR="00E57CCA" w:rsidRPr="009655D2">
        <w:t xml:space="preserve"> because, unlike s</w:t>
      </w:r>
      <w:r w:rsidR="00285D30" w:rsidRPr="009655D2">
        <w:t>elf-dealing transactions and material financial conflict transactions</w:t>
      </w:r>
      <w:r w:rsidR="00E57CCA" w:rsidRPr="009655D2">
        <w:t xml:space="preserve"> that</w:t>
      </w:r>
      <w:r w:rsidR="00285D30" w:rsidRPr="009655D2">
        <w:t xml:space="preserve"> are relatively easy to identify by </w:t>
      </w:r>
      <w:r w:rsidR="000F6FFC">
        <w:t xml:space="preserve">benchmarking against </w:t>
      </w:r>
      <w:r w:rsidR="00285D30" w:rsidRPr="009655D2">
        <w:t>objective standards</w:t>
      </w:r>
      <w:r w:rsidR="00E57CCA" w:rsidRPr="009655D2">
        <w:t xml:space="preserve">, it is far more </w:t>
      </w:r>
      <w:r w:rsidR="009655D2" w:rsidRPr="009655D2">
        <w:t>difficult to</w:t>
      </w:r>
      <w:r w:rsidR="00285D30" w:rsidRPr="009655D2">
        <w:t xml:space="preserve"> determine whether a transaction serves the </w:t>
      </w:r>
      <w:r w:rsidR="00E57CCA" w:rsidRPr="009655D2">
        <w:t>State’s</w:t>
      </w:r>
      <w:r w:rsidR="00285D30" w:rsidRPr="009655D2">
        <w:t xml:space="preserve"> political </w:t>
      </w:r>
      <w:r w:rsidR="00821B8B">
        <w:t xml:space="preserve">or policy </w:t>
      </w:r>
      <w:r w:rsidR="009655D2" w:rsidRPr="009655D2">
        <w:t>goals</w:t>
      </w:r>
      <w:r w:rsidR="007961E9">
        <w:t xml:space="preserve"> ( in conflict with the goals of its shareholders)</w:t>
      </w:r>
      <w:r w:rsidR="009655D2" w:rsidRPr="009655D2">
        <w:t xml:space="preserve"> since</w:t>
      </w:r>
      <w:r w:rsidR="00E57CCA" w:rsidRPr="009655D2">
        <w:t xml:space="preserve"> such </w:t>
      </w:r>
      <w:r w:rsidR="00821B8B">
        <w:t xml:space="preserve">political or policy </w:t>
      </w:r>
      <w:r w:rsidR="00E57CCA" w:rsidRPr="009655D2">
        <w:t>goals</w:t>
      </w:r>
      <w:r w:rsidR="00E57CCA">
        <w:rPr>
          <w:i/>
        </w:rPr>
        <w:t xml:space="preserve"> </w:t>
      </w:r>
      <w:r w:rsidR="00E57CCA" w:rsidRPr="009655D2">
        <w:t>are</w:t>
      </w:r>
      <w:r w:rsidR="00285D30" w:rsidRPr="009655D2">
        <w:t xml:space="preserve"> amorphous and far-reaching</w:t>
      </w:r>
      <w:r w:rsidR="009655D2" w:rsidRPr="009655D2">
        <w:t xml:space="preserve"> and</w:t>
      </w:r>
      <w:r w:rsidR="00285D30" w:rsidRPr="009655D2">
        <w:t xml:space="preserve"> </w:t>
      </w:r>
      <w:r w:rsidR="007961E9">
        <w:t xml:space="preserve">many </w:t>
      </w:r>
      <w:r w:rsidR="00285D30" w:rsidRPr="009655D2">
        <w:t>transactions can plausibly be argued to serve these goals</w:t>
      </w:r>
      <w:r w:rsidR="009655D2">
        <w:rPr>
          <w:rStyle w:val="FootnoteReference"/>
        </w:rPr>
        <w:footnoteReference w:id="12"/>
      </w:r>
      <w:r w:rsidR="00285D30" w:rsidRPr="009655D2">
        <w:t>.</w:t>
      </w:r>
      <w:r w:rsidR="00285D30" w:rsidRPr="00285D30">
        <w:rPr>
          <w:i/>
        </w:rPr>
        <w:t xml:space="preserve"> </w:t>
      </w:r>
    </w:p>
    <w:p w:rsidR="006C2083" w:rsidRDefault="0002643C" w:rsidP="006C2083">
      <w:pPr>
        <w:rPr>
          <w:lang w:val="en-US"/>
        </w:rPr>
      </w:pPr>
      <w:r>
        <w:t>Even though</w:t>
      </w:r>
      <w:r w:rsidR="00F016AE">
        <w:t xml:space="preserve"> </w:t>
      </w:r>
      <w:r>
        <w:t>t</w:t>
      </w:r>
      <w:r w:rsidR="00F016AE">
        <w:t>he corporate governance</w:t>
      </w:r>
      <w:r>
        <w:t xml:space="preserve"> i</w:t>
      </w:r>
      <w:r w:rsidR="000A4F77">
        <w:t xml:space="preserve">ssues arising from the role of </w:t>
      </w:r>
      <w:r w:rsidR="00CB0971">
        <w:t>State as a Dominant Shareholder</w:t>
      </w:r>
      <w:r w:rsidR="00E1748F">
        <w:t xml:space="preserve"> </w:t>
      </w:r>
      <w:r w:rsidR="000A4F77">
        <w:t xml:space="preserve"> are a sub set of the broader </w:t>
      </w:r>
      <w:r w:rsidR="00F016AE">
        <w:t>issues</w:t>
      </w:r>
      <w:r w:rsidR="000A4F77">
        <w:t xml:space="preserve"> that arises from the role of Dominant Shareholders in organizations</w:t>
      </w:r>
      <w:r w:rsidR="008477A0">
        <w:t xml:space="preserve"> and the expropriation of minority shareholder rights by the majority shareholders</w:t>
      </w:r>
      <w:r w:rsidR="00E1748F">
        <w:t>,</w:t>
      </w:r>
      <w:r w:rsidR="00E45394">
        <w:t xml:space="preserve"> there is</w:t>
      </w:r>
      <w:r w:rsidR="00D02276">
        <w:t xml:space="preserve"> one fundamental difference between the </w:t>
      </w:r>
      <w:r w:rsidR="00F21D96">
        <w:t>positions</w:t>
      </w:r>
      <w:r w:rsidR="00D02276">
        <w:t xml:space="preserve"> of minority shareholders in a</w:t>
      </w:r>
      <w:r w:rsidR="00F016AE">
        <w:t>n organization controlled by the State</w:t>
      </w:r>
      <w:r w:rsidR="00D02276">
        <w:t xml:space="preserve"> as compared to the position of minority shareholders in a normal business enterprise</w:t>
      </w:r>
      <w:r w:rsidR="00821B8B">
        <w:t>. I</w:t>
      </w:r>
      <w:r w:rsidR="006C2083">
        <w:t>t can be conceivably argued that the mere act of</w:t>
      </w:r>
      <w:r w:rsidR="006C2083" w:rsidRPr="00B04EAC">
        <w:rPr>
          <w:lang w:val="en-US"/>
        </w:rPr>
        <w:t xml:space="preserve"> listing of </w:t>
      </w:r>
      <w:r w:rsidR="00F016AE">
        <w:rPr>
          <w:lang w:val="en-US"/>
        </w:rPr>
        <w:t>a State controlled enterprise</w:t>
      </w:r>
      <w:r w:rsidR="006C2083" w:rsidRPr="00B04EAC">
        <w:rPr>
          <w:lang w:val="en-US"/>
        </w:rPr>
        <w:t xml:space="preserve"> d</w:t>
      </w:r>
      <w:r w:rsidR="006C2083">
        <w:rPr>
          <w:lang w:val="en-US"/>
        </w:rPr>
        <w:t xml:space="preserve">oes </w:t>
      </w:r>
      <w:r w:rsidR="006C2083" w:rsidRPr="00B04EAC">
        <w:rPr>
          <w:lang w:val="en-US"/>
        </w:rPr>
        <w:t xml:space="preserve">not make them "capitalist" entities </w:t>
      </w:r>
      <w:r w:rsidR="006C2083">
        <w:rPr>
          <w:lang w:val="en-US"/>
        </w:rPr>
        <w:t xml:space="preserve">whose sole aim </w:t>
      </w:r>
      <w:r w:rsidR="00821B8B">
        <w:rPr>
          <w:lang w:val="en-US"/>
        </w:rPr>
        <w:t xml:space="preserve">becomes </w:t>
      </w:r>
      <w:r w:rsidR="006C2083">
        <w:rPr>
          <w:lang w:val="en-US"/>
        </w:rPr>
        <w:t xml:space="preserve">that of </w:t>
      </w:r>
      <w:r w:rsidR="006C2083" w:rsidRPr="00B04EAC">
        <w:rPr>
          <w:lang w:val="en-US"/>
        </w:rPr>
        <w:t>maximizing</w:t>
      </w:r>
      <w:r w:rsidR="006C2083">
        <w:rPr>
          <w:lang w:val="en-US"/>
        </w:rPr>
        <w:t xml:space="preserve"> the value of the enterprise</w:t>
      </w:r>
      <w:r w:rsidR="00821B8B">
        <w:rPr>
          <w:lang w:val="en-US"/>
        </w:rPr>
        <w:t xml:space="preserve"> as </w:t>
      </w:r>
      <w:r w:rsidR="00821B8B" w:rsidRPr="00821B8B">
        <w:rPr>
          <w:lang w:val="en-US"/>
        </w:rPr>
        <w:t>the</w:t>
      </w:r>
      <w:r w:rsidR="00821B8B" w:rsidRPr="00B04EAC">
        <w:rPr>
          <w:lang w:val="en-US"/>
        </w:rPr>
        <w:t xml:space="preserve"> inherent conflict</w:t>
      </w:r>
      <w:r w:rsidR="00821B8B">
        <w:rPr>
          <w:lang w:val="en-US"/>
        </w:rPr>
        <w:t xml:space="preserve"> between broader</w:t>
      </w:r>
      <w:r w:rsidR="00821B8B" w:rsidRPr="00B04EAC">
        <w:rPr>
          <w:lang w:val="en-US"/>
        </w:rPr>
        <w:t xml:space="preserve"> "national interest” (</w:t>
      </w:r>
      <w:r w:rsidR="00821B8B">
        <w:rPr>
          <w:lang w:val="en-US"/>
        </w:rPr>
        <w:t>pursued by the State)</w:t>
      </w:r>
      <w:r w:rsidR="00821B8B" w:rsidRPr="00B04EAC">
        <w:rPr>
          <w:lang w:val="en-US"/>
        </w:rPr>
        <w:t xml:space="preserve"> and the "minority interest"</w:t>
      </w:r>
      <w:r w:rsidR="00821B8B">
        <w:rPr>
          <w:lang w:val="en-US"/>
        </w:rPr>
        <w:t>(pursued by the minority shareholders)</w:t>
      </w:r>
      <w:r w:rsidR="00821B8B" w:rsidRPr="00B04EAC">
        <w:rPr>
          <w:lang w:val="en-US"/>
        </w:rPr>
        <w:t xml:space="preserve"> </w:t>
      </w:r>
      <w:r w:rsidR="00821B8B">
        <w:rPr>
          <w:lang w:val="en-US"/>
        </w:rPr>
        <w:t xml:space="preserve">would continue and what we see is principal-principal problem between two sets of shareholders who may </w:t>
      </w:r>
      <w:r w:rsidR="00C94CB3">
        <w:rPr>
          <w:lang w:val="en-US"/>
        </w:rPr>
        <w:t>pursue</w:t>
      </w:r>
      <w:r w:rsidR="00821B8B">
        <w:rPr>
          <w:lang w:val="en-US"/>
        </w:rPr>
        <w:t xml:space="preserve"> different objectives. </w:t>
      </w:r>
    </w:p>
    <w:p w:rsidR="00D02276" w:rsidRDefault="00821B8B" w:rsidP="00125784">
      <w:pPr>
        <w:rPr>
          <w:lang w:val="en-US"/>
        </w:rPr>
      </w:pPr>
      <w:r>
        <w:rPr>
          <w:lang w:val="en-US"/>
        </w:rPr>
        <w:t>Privatization of SOEs</w:t>
      </w:r>
      <w:r w:rsidR="005C417B">
        <w:rPr>
          <w:lang w:val="en-US"/>
        </w:rPr>
        <w:t>,</w:t>
      </w:r>
      <w:r w:rsidR="00D02276" w:rsidRPr="00125784">
        <w:rPr>
          <w:lang w:val="en-US"/>
        </w:rPr>
        <w:t xml:space="preserve"> by definition</w:t>
      </w:r>
      <w:r w:rsidR="005C417B">
        <w:rPr>
          <w:lang w:val="en-US"/>
        </w:rPr>
        <w:t>,</w:t>
      </w:r>
      <w:r w:rsidR="00D02276" w:rsidRPr="00125784">
        <w:rPr>
          <w:lang w:val="en-US"/>
        </w:rPr>
        <w:t xml:space="preserve"> reduces the policy space open to government. It sets new terms for the relationship between the state and private capital</w:t>
      </w:r>
      <w:r w:rsidR="00D02276">
        <w:rPr>
          <w:lang w:val="en-US"/>
        </w:rPr>
        <w:t xml:space="preserve"> which could give</w:t>
      </w:r>
      <w:r w:rsidR="00D02276" w:rsidRPr="00125784">
        <w:rPr>
          <w:lang w:val="en-US"/>
        </w:rPr>
        <w:t xml:space="preserve"> the latter an edge. </w:t>
      </w:r>
      <w:r w:rsidR="00F21D96">
        <w:rPr>
          <w:lang w:val="en-US"/>
        </w:rPr>
        <w:t>In the transition period when S</w:t>
      </w:r>
      <w:r w:rsidR="00F016AE">
        <w:rPr>
          <w:lang w:val="en-US"/>
        </w:rPr>
        <w:t>tate owned enterprises</w:t>
      </w:r>
      <w:r w:rsidR="00F21D96">
        <w:rPr>
          <w:lang w:val="en-US"/>
        </w:rPr>
        <w:t xml:space="preserve"> are being privatized, </w:t>
      </w:r>
      <w:r w:rsidR="00F21D96" w:rsidRPr="00125784">
        <w:rPr>
          <w:lang w:val="en-US"/>
        </w:rPr>
        <w:t>foreign</w:t>
      </w:r>
      <w:r w:rsidR="00125784" w:rsidRPr="00125784">
        <w:rPr>
          <w:lang w:val="en-US"/>
        </w:rPr>
        <w:t xml:space="preserve"> investors, even minority ones, who have bought into </w:t>
      </w:r>
      <w:r w:rsidR="00F016AE">
        <w:rPr>
          <w:lang w:val="en-US"/>
        </w:rPr>
        <w:t xml:space="preserve">such enterprises </w:t>
      </w:r>
      <w:r w:rsidR="00D02276">
        <w:rPr>
          <w:lang w:val="en-US"/>
        </w:rPr>
        <w:t>on listing</w:t>
      </w:r>
      <w:r w:rsidR="00125784" w:rsidRPr="00125784">
        <w:rPr>
          <w:lang w:val="en-US"/>
        </w:rPr>
        <w:t xml:space="preserve">, may declare any policy that </w:t>
      </w:r>
      <w:r w:rsidR="00D02276">
        <w:rPr>
          <w:lang w:val="en-US"/>
        </w:rPr>
        <w:t>restricts</w:t>
      </w:r>
      <w:r w:rsidR="00125784" w:rsidRPr="00125784">
        <w:rPr>
          <w:lang w:val="en-US"/>
        </w:rPr>
        <w:t xml:space="preserve"> profiteering</w:t>
      </w:r>
      <w:r w:rsidR="00125784">
        <w:rPr>
          <w:lang w:val="en-US"/>
        </w:rPr>
        <w:t>,</w:t>
      </w:r>
      <w:r w:rsidR="00125784" w:rsidRPr="00125784">
        <w:rPr>
          <w:lang w:val="en-US"/>
        </w:rPr>
        <w:t xml:space="preserve"> in the interest of development</w:t>
      </w:r>
      <w:r w:rsidR="00125784">
        <w:rPr>
          <w:lang w:val="en-US"/>
        </w:rPr>
        <w:t>,</w:t>
      </w:r>
      <w:r w:rsidR="00125784" w:rsidRPr="00125784">
        <w:rPr>
          <w:lang w:val="en-US"/>
        </w:rPr>
        <w:t xml:space="preserve"> as amounting to oppression of minority shareholders</w:t>
      </w:r>
      <w:r w:rsidR="00D02276">
        <w:rPr>
          <w:lang w:val="en-US"/>
        </w:rPr>
        <w:t>; a</w:t>
      </w:r>
      <w:r w:rsidR="00125784" w:rsidRPr="00125784">
        <w:rPr>
          <w:lang w:val="en-US"/>
        </w:rPr>
        <w:t>nd that may</w:t>
      </w:r>
      <w:r w:rsidR="005C417B">
        <w:rPr>
          <w:lang w:val="en-US"/>
        </w:rPr>
        <w:t xml:space="preserve"> attempt to</w:t>
      </w:r>
      <w:r w:rsidR="00125784" w:rsidRPr="00125784">
        <w:rPr>
          <w:lang w:val="en-US"/>
        </w:rPr>
        <w:t xml:space="preserve"> cow the </w:t>
      </w:r>
      <w:r w:rsidR="00F016AE">
        <w:rPr>
          <w:lang w:val="en-US"/>
        </w:rPr>
        <w:t xml:space="preserve">State </w:t>
      </w:r>
      <w:r w:rsidR="00125784" w:rsidRPr="00125784">
        <w:rPr>
          <w:lang w:val="en-US"/>
        </w:rPr>
        <w:t>down.</w:t>
      </w:r>
    </w:p>
    <w:p w:rsidR="00125784" w:rsidRDefault="00D02276" w:rsidP="00D02276">
      <w:pPr>
        <w:rPr>
          <w:lang w:val="en-US"/>
        </w:rPr>
      </w:pPr>
      <w:r>
        <w:rPr>
          <w:lang w:val="en-US"/>
        </w:rPr>
        <w:t xml:space="preserve">However, </w:t>
      </w:r>
      <w:r w:rsidR="00821B8B">
        <w:rPr>
          <w:lang w:val="en-US"/>
        </w:rPr>
        <w:t xml:space="preserve">it should be recognized </w:t>
      </w:r>
      <w:r>
        <w:rPr>
          <w:lang w:val="en-US"/>
        </w:rPr>
        <w:t>that t</w:t>
      </w:r>
      <w:r w:rsidR="00125784">
        <w:rPr>
          <w:lang w:val="en-US"/>
        </w:rPr>
        <w:t>he value of the listed</w:t>
      </w:r>
      <w:r w:rsidR="00821B8B">
        <w:rPr>
          <w:lang w:val="en-US"/>
        </w:rPr>
        <w:t xml:space="preserve"> state</w:t>
      </w:r>
      <w:r w:rsidR="00125784">
        <w:rPr>
          <w:lang w:val="en-US"/>
        </w:rPr>
        <w:t xml:space="preserve"> entity arises, in many cases</w:t>
      </w:r>
      <w:r w:rsidR="00F21D96">
        <w:rPr>
          <w:lang w:val="en-US"/>
        </w:rPr>
        <w:t>,</w:t>
      </w:r>
      <w:r w:rsidR="00125784">
        <w:rPr>
          <w:lang w:val="en-US"/>
        </w:rPr>
        <w:t xml:space="preserve"> from its monopoly position or from </w:t>
      </w:r>
      <w:r w:rsidR="00125784" w:rsidRPr="00125784">
        <w:rPr>
          <w:lang w:val="en-US"/>
        </w:rPr>
        <w:t xml:space="preserve">assets created </w:t>
      </w:r>
      <w:r w:rsidR="00125784">
        <w:rPr>
          <w:lang w:val="en-US"/>
        </w:rPr>
        <w:t xml:space="preserve">earlier </w:t>
      </w:r>
      <w:r w:rsidR="00125784" w:rsidRPr="00125784">
        <w:rPr>
          <w:lang w:val="en-US"/>
        </w:rPr>
        <w:t>with public money</w:t>
      </w:r>
      <w:r w:rsidR="00125784">
        <w:rPr>
          <w:lang w:val="en-US"/>
        </w:rPr>
        <w:t xml:space="preserve"> or from assets/rights granted to the entity by the State</w:t>
      </w:r>
      <w:r w:rsidR="00E45394">
        <w:rPr>
          <w:lang w:val="en-US"/>
        </w:rPr>
        <w:t xml:space="preserve">. </w:t>
      </w:r>
      <w:r w:rsidR="00F21D96">
        <w:rPr>
          <w:lang w:val="en-US"/>
        </w:rPr>
        <w:t>From this fact t</w:t>
      </w:r>
      <w:r w:rsidR="005C417B">
        <w:rPr>
          <w:lang w:val="en-US"/>
        </w:rPr>
        <w:t xml:space="preserve">he obvious question that arises </w:t>
      </w:r>
      <w:r w:rsidR="00821B8B">
        <w:rPr>
          <w:lang w:val="en-US"/>
        </w:rPr>
        <w:t>is to</w:t>
      </w:r>
      <w:r w:rsidR="00125784">
        <w:rPr>
          <w:lang w:val="en-US"/>
        </w:rPr>
        <w:t xml:space="preserve"> what extent are the new minority shareholders</w:t>
      </w:r>
      <w:r>
        <w:rPr>
          <w:lang w:val="en-US"/>
        </w:rPr>
        <w:t xml:space="preserve"> (after listing)</w:t>
      </w:r>
      <w:r w:rsidR="00125784">
        <w:rPr>
          <w:lang w:val="en-US"/>
        </w:rPr>
        <w:t xml:space="preserve"> entitled to claim exclusive rights</w:t>
      </w:r>
      <w:r>
        <w:rPr>
          <w:lang w:val="en-US"/>
        </w:rPr>
        <w:t xml:space="preserve"> on the value unlocked </w:t>
      </w:r>
      <w:r w:rsidR="005C417B">
        <w:rPr>
          <w:lang w:val="en-US"/>
        </w:rPr>
        <w:t>(</w:t>
      </w:r>
      <w:r w:rsidR="00821B8B">
        <w:rPr>
          <w:lang w:val="en-US"/>
        </w:rPr>
        <w:t>post listing</w:t>
      </w:r>
      <w:r w:rsidR="005C417B">
        <w:rPr>
          <w:lang w:val="en-US"/>
        </w:rPr>
        <w:t xml:space="preserve">) </w:t>
      </w:r>
      <w:r w:rsidR="00821B8B">
        <w:rPr>
          <w:lang w:val="en-US"/>
        </w:rPr>
        <w:t>and whether</w:t>
      </w:r>
      <w:r>
        <w:rPr>
          <w:lang w:val="en-US"/>
        </w:rPr>
        <w:t xml:space="preserve"> the</w:t>
      </w:r>
      <w:r w:rsidR="00821B8B">
        <w:rPr>
          <w:lang w:val="en-US"/>
        </w:rPr>
        <w:t xml:space="preserve"> State as the</w:t>
      </w:r>
      <w:r w:rsidRPr="00B04EAC">
        <w:rPr>
          <w:lang w:val="en-US"/>
        </w:rPr>
        <w:t xml:space="preserve"> majority</w:t>
      </w:r>
      <w:r>
        <w:rPr>
          <w:lang w:val="en-US"/>
        </w:rPr>
        <w:t xml:space="preserve"> shareholders</w:t>
      </w:r>
      <w:r w:rsidRPr="00B04EAC">
        <w:rPr>
          <w:lang w:val="en-US"/>
        </w:rPr>
        <w:t xml:space="preserve"> </w:t>
      </w:r>
      <w:r w:rsidR="00821B8B">
        <w:rPr>
          <w:lang w:val="en-US"/>
        </w:rPr>
        <w:t>is</w:t>
      </w:r>
      <w:r w:rsidR="00E45394">
        <w:rPr>
          <w:lang w:val="en-US"/>
        </w:rPr>
        <w:t xml:space="preserve"> justified in </w:t>
      </w:r>
      <w:r w:rsidRPr="00B04EAC">
        <w:rPr>
          <w:lang w:val="en-US"/>
        </w:rPr>
        <w:t>protect</w:t>
      </w:r>
      <w:r w:rsidR="00E45394">
        <w:rPr>
          <w:lang w:val="en-US"/>
        </w:rPr>
        <w:t>ing</w:t>
      </w:r>
      <w:r w:rsidRPr="00B04EAC">
        <w:rPr>
          <w:lang w:val="en-US"/>
        </w:rPr>
        <w:t xml:space="preserve"> </w:t>
      </w:r>
      <w:r w:rsidR="00821B8B">
        <w:rPr>
          <w:lang w:val="en-US"/>
        </w:rPr>
        <w:t>its</w:t>
      </w:r>
      <w:r w:rsidRPr="00B04EAC">
        <w:rPr>
          <w:lang w:val="en-US"/>
        </w:rPr>
        <w:t xml:space="preserve"> own interests</w:t>
      </w:r>
      <w:r>
        <w:rPr>
          <w:lang w:val="en-US"/>
        </w:rPr>
        <w:t xml:space="preserve"> (which include broader social interests</w:t>
      </w:r>
      <w:r w:rsidR="00821B8B">
        <w:rPr>
          <w:lang w:val="en-US"/>
        </w:rPr>
        <w:t>)</w:t>
      </w:r>
      <w:r w:rsidR="00433F0A">
        <w:rPr>
          <w:lang w:val="en-US"/>
        </w:rPr>
        <w:t>,</w:t>
      </w:r>
      <w:r w:rsidRPr="00B04EAC">
        <w:rPr>
          <w:lang w:val="en-US"/>
        </w:rPr>
        <w:t xml:space="preserve"> however wrong they may be in the eyes of the minority</w:t>
      </w:r>
      <w:r w:rsidR="00090679">
        <w:rPr>
          <w:lang w:val="en-US"/>
        </w:rPr>
        <w:t>.</w:t>
      </w:r>
    </w:p>
    <w:p w:rsidR="00090679" w:rsidRPr="00F016AE" w:rsidRDefault="00090679" w:rsidP="00090679">
      <w:pPr>
        <w:rPr>
          <w:lang w:val="en-US"/>
        </w:rPr>
      </w:pPr>
      <w:r w:rsidRPr="00F016AE">
        <w:rPr>
          <w:lang w:val="en-US"/>
        </w:rPr>
        <w:t xml:space="preserve">This is the crux of the </w:t>
      </w:r>
      <w:r w:rsidR="00C94CB3">
        <w:rPr>
          <w:lang w:val="en-US"/>
        </w:rPr>
        <w:t xml:space="preserve">current </w:t>
      </w:r>
      <w:r w:rsidRPr="00F016AE">
        <w:rPr>
          <w:lang w:val="en-US"/>
        </w:rPr>
        <w:t>debate</w:t>
      </w:r>
      <w:r w:rsidR="00C94CB3">
        <w:rPr>
          <w:lang w:val="en-US"/>
        </w:rPr>
        <w:t xml:space="preserve"> in India</w:t>
      </w:r>
      <w:r w:rsidRPr="00F016AE">
        <w:rPr>
          <w:lang w:val="en-US"/>
        </w:rPr>
        <w:t xml:space="preserve"> and the challenge is to find an equitable position between the two extreme positions</w:t>
      </w:r>
      <w:r w:rsidR="00E267A1">
        <w:rPr>
          <w:lang w:val="en-US"/>
        </w:rPr>
        <w:t>, one</w:t>
      </w:r>
      <w:r w:rsidRPr="00F016AE">
        <w:rPr>
          <w:lang w:val="en-US"/>
        </w:rPr>
        <w:t xml:space="preserve"> where the majority owners view the Company’s </w:t>
      </w:r>
      <w:r w:rsidR="00802246" w:rsidRPr="00F016AE">
        <w:rPr>
          <w:lang w:val="en-US"/>
        </w:rPr>
        <w:t>objective as</w:t>
      </w:r>
      <w:r w:rsidRPr="00F016AE">
        <w:rPr>
          <w:lang w:val="en-US"/>
        </w:rPr>
        <w:t xml:space="preserve"> being run to serve the public </w:t>
      </w:r>
      <w:r w:rsidRPr="00F016AE">
        <w:rPr>
          <w:lang w:val="en-US"/>
        </w:rPr>
        <w:lastRenderedPageBreak/>
        <w:t xml:space="preserve">interest and not necessarily to maximize its profits </w:t>
      </w:r>
      <w:r w:rsidR="00E267A1">
        <w:rPr>
          <w:lang w:val="en-US"/>
        </w:rPr>
        <w:t xml:space="preserve"> and the second where</w:t>
      </w:r>
      <w:r w:rsidRPr="00F016AE">
        <w:rPr>
          <w:lang w:val="en-US"/>
        </w:rPr>
        <w:t xml:space="preserve"> the minority owners </w:t>
      </w:r>
      <w:r w:rsidR="00802246" w:rsidRPr="00F016AE">
        <w:rPr>
          <w:lang w:val="en-US"/>
        </w:rPr>
        <w:t>see the</w:t>
      </w:r>
      <w:r w:rsidRPr="00F016AE">
        <w:rPr>
          <w:lang w:val="en-US"/>
        </w:rPr>
        <w:t xml:space="preserve"> Board members to be in breach of their fiduciary responsibility when they meekly acquiesce to the decisions of the majority owners</w:t>
      </w:r>
      <w:r w:rsidR="00F016AE" w:rsidRPr="00F016AE">
        <w:rPr>
          <w:rStyle w:val="FootnoteReference"/>
          <w:lang w:val="en-US"/>
        </w:rPr>
        <w:footnoteReference w:id="13"/>
      </w:r>
      <w:r w:rsidRPr="00F016AE">
        <w:rPr>
          <w:lang w:val="en-US"/>
        </w:rPr>
        <w:t>.</w:t>
      </w:r>
    </w:p>
    <w:p w:rsidR="00090679" w:rsidRDefault="00090679" w:rsidP="006C2083">
      <w:pPr>
        <w:rPr>
          <w:lang w:val="en-US"/>
        </w:rPr>
      </w:pPr>
      <w:r>
        <w:rPr>
          <w:lang w:val="en-US"/>
        </w:rPr>
        <w:t xml:space="preserve">  </w:t>
      </w:r>
    </w:p>
    <w:p w:rsidR="003F3A4C" w:rsidRPr="00AA46D7" w:rsidRDefault="00E1748F" w:rsidP="00E1748F">
      <w:pPr>
        <w:pStyle w:val="ListParagraph"/>
        <w:numPr>
          <w:ilvl w:val="0"/>
          <w:numId w:val="18"/>
        </w:numPr>
        <w:rPr>
          <w:b/>
          <w:sz w:val="32"/>
          <w:szCs w:val="32"/>
          <w:u w:val="single"/>
        </w:rPr>
      </w:pPr>
      <w:r w:rsidRPr="00AA46D7">
        <w:rPr>
          <w:b/>
          <w:sz w:val="32"/>
          <w:szCs w:val="32"/>
          <w:u w:val="single"/>
        </w:rPr>
        <w:t>DISINVESTMENT IN INDIA</w:t>
      </w:r>
    </w:p>
    <w:p w:rsidR="005221EE" w:rsidRDefault="005221EE" w:rsidP="005221EE">
      <w:pPr>
        <w:spacing w:after="0"/>
        <w:rPr>
          <w:bCs/>
          <w:i/>
          <w:lang w:val="en-US"/>
        </w:rPr>
      </w:pPr>
    </w:p>
    <w:p w:rsidR="005E0581" w:rsidRPr="00FF2170" w:rsidRDefault="005546C8" w:rsidP="00FF2170">
      <w:pPr>
        <w:rPr>
          <w:rFonts w:cstheme="minorHAnsi"/>
          <w:bCs/>
          <w:lang w:val="en-US"/>
        </w:rPr>
      </w:pPr>
      <w:r w:rsidRPr="00FF2170">
        <w:rPr>
          <w:rFonts w:cstheme="minorHAnsi"/>
          <w:bCs/>
          <w:lang w:val="en-US"/>
        </w:rPr>
        <w:t>In line with the prevailing socialist leanings the</w:t>
      </w:r>
      <w:r w:rsidR="005E0581" w:rsidRPr="00FF2170">
        <w:rPr>
          <w:rFonts w:cstheme="minorHAnsi"/>
          <w:bCs/>
          <w:lang w:val="en-US"/>
        </w:rPr>
        <w:t xml:space="preserve"> f</w:t>
      </w:r>
      <w:r w:rsidRPr="00FF2170">
        <w:rPr>
          <w:rFonts w:cstheme="minorHAnsi"/>
          <w:bCs/>
          <w:lang w:val="en-US"/>
        </w:rPr>
        <w:t>i</w:t>
      </w:r>
      <w:r w:rsidR="005E0581" w:rsidRPr="00FF2170">
        <w:rPr>
          <w:rFonts w:cstheme="minorHAnsi"/>
          <w:bCs/>
          <w:lang w:val="en-US"/>
        </w:rPr>
        <w:t>rst prime minister of post-independence India, Pandit Jawaharlal Nehru envisaged the role of government-owned</w:t>
      </w:r>
      <w:r w:rsidRPr="00FF2170">
        <w:rPr>
          <w:rFonts w:cstheme="minorHAnsi"/>
          <w:bCs/>
          <w:lang w:val="en-US"/>
        </w:rPr>
        <w:t xml:space="preserve"> </w:t>
      </w:r>
      <w:r w:rsidR="005E0581" w:rsidRPr="00FF2170">
        <w:rPr>
          <w:rFonts w:cstheme="minorHAnsi"/>
          <w:bCs/>
          <w:lang w:val="en-US"/>
        </w:rPr>
        <w:t xml:space="preserve">firms as </w:t>
      </w:r>
      <w:r w:rsidRPr="00FF2170">
        <w:rPr>
          <w:rFonts w:cstheme="minorHAnsi"/>
          <w:bCs/>
          <w:lang w:val="en-US"/>
        </w:rPr>
        <w:t xml:space="preserve">occupying </w:t>
      </w:r>
      <w:r w:rsidR="005E0581" w:rsidRPr="00FF2170">
        <w:rPr>
          <w:rFonts w:cstheme="minorHAnsi"/>
          <w:bCs/>
          <w:lang w:val="en-US"/>
        </w:rPr>
        <w:t>the</w:t>
      </w:r>
      <w:r w:rsidRPr="00FF2170">
        <w:rPr>
          <w:rFonts w:cstheme="minorHAnsi"/>
          <w:bCs/>
          <w:lang w:val="en-US"/>
        </w:rPr>
        <w:t xml:space="preserve"> “</w:t>
      </w:r>
      <w:r w:rsidR="005E0581" w:rsidRPr="00FF2170">
        <w:rPr>
          <w:rFonts w:cstheme="minorHAnsi"/>
          <w:bCs/>
          <w:lang w:val="en-US"/>
        </w:rPr>
        <w:t>.commanding heights of the econom</w:t>
      </w:r>
      <w:r w:rsidRPr="00FF2170">
        <w:rPr>
          <w:rFonts w:cstheme="minorHAnsi"/>
          <w:bCs/>
          <w:lang w:val="en-US"/>
        </w:rPr>
        <w:t>y”; the</w:t>
      </w:r>
      <w:r w:rsidR="005E0581" w:rsidRPr="00FF2170">
        <w:rPr>
          <w:rFonts w:cstheme="minorHAnsi"/>
          <w:bCs/>
          <w:lang w:val="en-US"/>
        </w:rPr>
        <w:t xml:space="preserve"> Industrial Policy Resolution of 1956, stated, “The State will progressively assume predominance and direct responsibility for setting up new industrial undertakings and for developing transport facilities”</w:t>
      </w:r>
      <w:r w:rsidRPr="00FF2170">
        <w:rPr>
          <w:rStyle w:val="FootnoteReference"/>
          <w:rFonts w:cstheme="minorHAnsi"/>
          <w:bCs/>
          <w:lang w:val="en-US"/>
        </w:rPr>
        <w:footnoteReference w:id="14"/>
      </w:r>
      <w:r w:rsidR="005E0581" w:rsidRPr="00FF2170">
        <w:rPr>
          <w:rFonts w:cstheme="minorHAnsi"/>
          <w:bCs/>
          <w:lang w:val="en-US"/>
        </w:rPr>
        <w:t>.</w:t>
      </w:r>
    </w:p>
    <w:p w:rsidR="00AD55FE" w:rsidRPr="00FF2170" w:rsidRDefault="00B30954" w:rsidP="00FF2170">
      <w:pPr>
        <w:rPr>
          <w:rFonts w:cstheme="minorHAnsi"/>
          <w:bCs/>
          <w:i/>
          <w:lang w:val="en-US"/>
        </w:rPr>
      </w:pPr>
      <w:r w:rsidRPr="00FF2170">
        <w:rPr>
          <w:rFonts w:cstheme="minorHAnsi"/>
          <w:bCs/>
          <w:lang w:val="en-US"/>
        </w:rPr>
        <w:t>While there were only five Central Public Sector Enterprises (CPSEs) with a total investment of `Rs 290 million (US $ 5.8 mil at an exchange rate of IUS$=Rs50) at the time of the First Five Year Plan, there were as many 248 CPSEs (excluding 7 Insurance Companies) with a total investment of `</w:t>
      </w:r>
      <w:r w:rsidR="00AD55FE" w:rsidRPr="00FF2170">
        <w:rPr>
          <w:rFonts w:cstheme="minorHAnsi"/>
          <w:bCs/>
          <w:lang w:val="en-US"/>
        </w:rPr>
        <w:t>Rs 6,668</w:t>
      </w:r>
      <w:r w:rsidRPr="00FF2170">
        <w:rPr>
          <w:rFonts w:cstheme="minorHAnsi"/>
          <w:bCs/>
          <w:lang w:val="en-US"/>
        </w:rPr>
        <w:t xml:space="preserve"> Billion (US $ 133.4bil) as on 31 st March, 2011</w:t>
      </w:r>
      <w:r w:rsidRPr="00FF2170">
        <w:rPr>
          <w:rStyle w:val="FootnoteReference"/>
          <w:rFonts w:cstheme="minorHAnsi"/>
          <w:bCs/>
          <w:i/>
          <w:lang w:val="en-US"/>
        </w:rPr>
        <w:footnoteReference w:id="15"/>
      </w:r>
      <w:r w:rsidRPr="00FF2170">
        <w:rPr>
          <w:rFonts w:cstheme="minorHAnsi"/>
          <w:bCs/>
          <w:i/>
          <w:lang w:val="en-US"/>
        </w:rPr>
        <w:t xml:space="preserve">. </w:t>
      </w:r>
    </w:p>
    <w:p w:rsidR="00753029" w:rsidRPr="00FF2170" w:rsidRDefault="00753029" w:rsidP="00FF2170">
      <w:pPr>
        <w:rPr>
          <w:rFonts w:cstheme="minorHAnsi"/>
          <w:bCs/>
          <w:lang w:val="en-US"/>
        </w:rPr>
      </w:pPr>
      <w:r w:rsidRPr="00FF2170">
        <w:rPr>
          <w:rFonts w:cstheme="minorHAnsi"/>
          <w:bCs/>
          <w:lang w:val="en-US"/>
        </w:rPr>
        <w:t>The market capitalization of the 45 listed CPSEs, based on the stock price in Mumbai Stock Exchange, stood at Rs 15,067 Billion</w:t>
      </w:r>
      <w:r w:rsidR="008F1E17" w:rsidRPr="00FF2170">
        <w:rPr>
          <w:rFonts w:cstheme="minorHAnsi"/>
          <w:bCs/>
          <w:lang w:val="en-US"/>
        </w:rPr>
        <w:t xml:space="preserve"> ( US $ 301.4 Billion)</w:t>
      </w:r>
      <w:r w:rsidRPr="00FF2170">
        <w:rPr>
          <w:rFonts w:cstheme="minorHAnsi"/>
          <w:bCs/>
          <w:lang w:val="en-US"/>
        </w:rPr>
        <w:t xml:space="preserve"> as on 31.03.2011 and they accounted for nearly 22% of the total market capitalization of the BSE</w:t>
      </w:r>
      <w:r w:rsidRPr="00FF2170">
        <w:rPr>
          <w:rStyle w:val="FootnoteReference"/>
          <w:rFonts w:cstheme="minorHAnsi"/>
          <w:bCs/>
          <w:lang w:val="en-US"/>
        </w:rPr>
        <w:footnoteReference w:id="16"/>
      </w:r>
      <w:r w:rsidRPr="00FF2170">
        <w:rPr>
          <w:rFonts w:cstheme="minorHAnsi"/>
          <w:bCs/>
          <w:lang w:val="en-US"/>
        </w:rPr>
        <w:t>.</w:t>
      </w:r>
    </w:p>
    <w:p w:rsidR="00AA02A2" w:rsidRDefault="00AA02A2" w:rsidP="00FF2170">
      <w:pPr>
        <w:rPr>
          <w:rFonts w:cstheme="minorHAnsi"/>
          <w:bCs/>
          <w:lang w:val="en-US"/>
        </w:rPr>
      </w:pPr>
    </w:p>
    <w:p w:rsidR="00753029" w:rsidRPr="00FF2170" w:rsidRDefault="00AD55FE" w:rsidP="00FF2170">
      <w:pPr>
        <w:rPr>
          <w:rFonts w:cstheme="minorHAnsi"/>
          <w:bCs/>
          <w:lang w:val="en-US"/>
        </w:rPr>
      </w:pPr>
      <w:r w:rsidRPr="00FF2170">
        <w:rPr>
          <w:rFonts w:cstheme="minorHAnsi"/>
          <w:bCs/>
          <w:lang w:val="en-US"/>
        </w:rPr>
        <w:lastRenderedPageBreak/>
        <w:t>The</w:t>
      </w:r>
      <w:r w:rsidR="00753029" w:rsidRPr="00FF2170">
        <w:rPr>
          <w:rFonts w:cstheme="minorHAnsi"/>
          <w:bCs/>
          <w:lang w:val="en-US"/>
        </w:rPr>
        <w:t xml:space="preserve"> policy regime that governed the evolution of the state </w:t>
      </w:r>
      <w:r w:rsidRPr="00FF2170">
        <w:rPr>
          <w:rFonts w:cstheme="minorHAnsi"/>
          <w:bCs/>
          <w:lang w:val="en-US"/>
        </w:rPr>
        <w:t xml:space="preserve">owned sector in the post-independence India </w:t>
      </w:r>
      <w:r w:rsidR="00753029" w:rsidRPr="00FF2170">
        <w:rPr>
          <w:rFonts w:cstheme="minorHAnsi"/>
          <w:bCs/>
          <w:lang w:val="en-US"/>
        </w:rPr>
        <w:t>can be divided</w:t>
      </w:r>
      <w:r w:rsidRPr="00FF2170">
        <w:rPr>
          <w:rFonts w:cstheme="minorHAnsi"/>
          <w:bCs/>
          <w:lang w:val="en-US"/>
        </w:rPr>
        <w:t xml:space="preserve"> into following four phases: (i) 1950-1965, (ii) 1966-1984, (iii)</w:t>
      </w:r>
      <w:r w:rsidR="00E43C1B" w:rsidRPr="00FF2170">
        <w:rPr>
          <w:rFonts w:cstheme="minorHAnsi"/>
          <w:bCs/>
          <w:lang w:val="en-US"/>
        </w:rPr>
        <w:t xml:space="preserve"> </w:t>
      </w:r>
      <w:r w:rsidRPr="00FF2170">
        <w:rPr>
          <w:rFonts w:cstheme="minorHAnsi"/>
          <w:bCs/>
          <w:lang w:val="en-US"/>
        </w:rPr>
        <w:t>1984-91 and (iv</w:t>
      </w:r>
      <w:r w:rsidR="00EA4654" w:rsidRPr="00FF2170">
        <w:rPr>
          <w:rFonts w:cstheme="minorHAnsi"/>
          <w:bCs/>
          <w:lang w:val="en-US"/>
        </w:rPr>
        <w:t>) post</w:t>
      </w:r>
      <w:r w:rsidRPr="00FF2170">
        <w:rPr>
          <w:rFonts w:cstheme="minorHAnsi"/>
          <w:bCs/>
          <w:lang w:val="en-US"/>
        </w:rPr>
        <w:t xml:space="preserve">1991 </w:t>
      </w:r>
      <w:r w:rsidR="00753029" w:rsidRPr="00FF2170">
        <w:rPr>
          <w:rFonts w:cstheme="minorHAnsi"/>
          <w:bCs/>
          <w:lang w:val="en-US"/>
        </w:rPr>
        <w:t>period</w:t>
      </w:r>
      <w:r w:rsidR="00753029" w:rsidRPr="00FF2170">
        <w:rPr>
          <w:rStyle w:val="FootnoteReference"/>
          <w:rFonts w:cstheme="minorHAnsi"/>
          <w:bCs/>
          <w:lang w:val="en-US"/>
        </w:rPr>
        <w:footnoteReference w:id="17"/>
      </w:r>
      <w:r w:rsidRPr="00FF2170">
        <w:rPr>
          <w:rFonts w:cstheme="minorHAnsi"/>
          <w:bCs/>
          <w:lang w:val="en-US"/>
        </w:rPr>
        <w:t>. During the first phase</w:t>
      </w:r>
      <w:r w:rsidR="00753029" w:rsidRPr="00FF2170">
        <w:rPr>
          <w:rFonts w:cstheme="minorHAnsi"/>
          <w:bCs/>
          <w:lang w:val="en-US"/>
        </w:rPr>
        <w:t xml:space="preserve"> of evolution,</w:t>
      </w:r>
      <w:r w:rsidRPr="00FF2170">
        <w:rPr>
          <w:rFonts w:cstheme="minorHAnsi"/>
          <w:bCs/>
          <w:lang w:val="en-US"/>
        </w:rPr>
        <w:t xml:space="preserve"> i.e. 1950-65, </w:t>
      </w:r>
      <w:r w:rsidR="00753029" w:rsidRPr="00FF2170">
        <w:rPr>
          <w:rFonts w:cstheme="minorHAnsi"/>
          <w:bCs/>
          <w:lang w:val="en-US"/>
        </w:rPr>
        <w:t>the state</w:t>
      </w:r>
      <w:r w:rsidRPr="00FF2170">
        <w:rPr>
          <w:rFonts w:cstheme="minorHAnsi"/>
          <w:bCs/>
          <w:lang w:val="en-US"/>
        </w:rPr>
        <w:t xml:space="preserve"> owned sector was occupying the position of 'commanding heights'. The second phase (1966-84) is further sub-divided into two periods 1966-73 and 1973-84. Although the economy passed through a crisis during this phase, the state owned sector was by and large still enjoying a significant position. The second sub-period, i.e. 1973-84 recorded a slow process towards liberalization, which culminated into an irreversible process of liberalization of the economy through the third (1984-91) and during</w:t>
      </w:r>
      <w:r w:rsidR="00753029" w:rsidRPr="00FF2170">
        <w:rPr>
          <w:rFonts w:cstheme="minorHAnsi"/>
          <w:bCs/>
          <w:lang w:val="en-US"/>
        </w:rPr>
        <w:t xml:space="preserve"> the</w:t>
      </w:r>
      <w:r w:rsidRPr="00FF2170">
        <w:rPr>
          <w:rFonts w:cstheme="minorHAnsi"/>
          <w:bCs/>
          <w:lang w:val="en-US"/>
        </w:rPr>
        <w:t xml:space="preserve"> final phase (1991 onwards) </w:t>
      </w:r>
      <w:r w:rsidR="00753029" w:rsidRPr="00FF2170">
        <w:rPr>
          <w:rFonts w:cstheme="minorHAnsi"/>
          <w:bCs/>
          <w:lang w:val="en-US"/>
        </w:rPr>
        <w:t xml:space="preserve">of the evolution </w:t>
      </w:r>
      <w:r w:rsidRPr="00FF2170">
        <w:rPr>
          <w:rFonts w:cstheme="minorHAnsi"/>
          <w:bCs/>
          <w:lang w:val="en-US"/>
        </w:rPr>
        <w:t xml:space="preserve">of the economic policy in India. </w:t>
      </w:r>
    </w:p>
    <w:p w:rsidR="00AD55FE" w:rsidRPr="00FF2170" w:rsidRDefault="00AD55FE" w:rsidP="00FF2170">
      <w:pPr>
        <w:rPr>
          <w:rFonts w:cstheme="minorHAnsi"/>
          <w:bCs/>
          <w:lang w:val="en-US"/>
        </w:rPr>
      </w:pPr>
      <w:r w:rsidRPr="00FF2170">
        <w:rPr>
          <w:rFonts w:cstheme="minorHAnsi"/>
          <w:bCs/>
          <w:lang w:val="en-US"/>
        </w:rPr>
        <w:t>In the present phase</w:t>
      </w:r>
      <w:r w:rsidR="00753029" w:rsidRPr="00FF2170">
        <w:rPr>
          <w:rFonts w:cstheme="minorHAnsi"/>
          <w:bCs/>
          <w:lang w:val="en-US"/>
        </w:rPr>
        <w:t xml:space="preserve"> of economic evolution</w:t>
      </w:r>
      <w:r w:rsidRPr="00FF2170">
        <w:rPr>
          <w:rFonts w:cstheme="minorHAnsi"/>
          <w:bCs/>
          <w:lang w:val="en-US"/>
        </w:rPr>
        <w:t xml:space="preserve">, </w:t>
      </w:r>
      <w:r w:rsidR="00753029" w:rsidRPr="00FF2170">
        <w:rPr>
          <w:rFonts w:cstheme="minorHAnsi"/>
          <w:bCs/>
          <w:lang w:val="en-US"/>
        </w:rPr>
        <w:t xml:space="preserve">not only the </w:t>
      </w:r>
      <w:r w:rsidRPr="00FF2170">
        <w:rPr>
          <w:rFonts w:cstheme="minorHAnsi"/>
          <w:bCs/>
          <w:lang w:val="en-US"/>
        </w:rPr>
        <w:t>state owned sector no longer occupies the position of commanding heights</w:t>
      </w:r>
      <w:r w:rsidR="00753029" w:rsidRPr="00FF2170">
        <w:rPr>
          <w:rFonts w:cstheme="minorHAnsi"/>
          <w:bCs/>
          <w:lang w:val="en-US"/>
        </w:rPr>
        <w:t xml:space="preserve"> but also</w:t>
      </w:r>
      <w:r w:rsidRPr="00FF2170">
        <w:rPr>
          <w:rFonts w:cstheme="minorHAnsi"/>
          <w:bCs/>
          <w:lang w:val="en-US"/>
        </w:rPr>
        <w:t xml:space="preserve"> old concept</w:t>
      </w:r>
      <w:r w:rsidR="00753029" w:rsidRPr="00FF2170">
        <w:rPr>
          <w:rFonts w:cstheme="minorHAnsi"/>
          <w:bCs/>
          <w:lang w:val="en-US"/>
        </w:rPr>
        <w:t>s</w:t>
      </w:r>
      <w:r w:rsidRPr="00FF2170">
        <w:rPr>
          <w:rFonts w:cstheme="minorHAnsi"/>
          <w:bCs/>
          <w:lang w:val="en-US"/>
        </w:rPr>
        <w:t xml:space="preserve"> of socialism and mixed economy </w:t>
      </w:r>
      <w:r w:rsidR="00753029" w:rsidRPr="00FF2170">
        <w:rPr>
          <w:rFonts w:cstheme="minorHAnsi"/>
          <w:bCs/>
          <w:lang w:val="en-US"/>
        </w:rPr>
        <w:t>have been</w:t>
      </w:r>
      <w:r w:rsidRPr="00FF2170">
        <w:rPr>
          <w:rFonts w:cstheme="minorHAnsi"/>
          <w:bCs/>
          <w:lang w:val="en-US"/>
        </w:rPr>
        <w:t xml:space="preserve"> replaced by the concepts such as liberalization, privatization, disinvestment and </w:t>
      </w:r>
      <w:r w:rsidR="00753029" w:rsidRPr="00FF2170">
        <w:rPr>
          <w:rFonts w:cstheme="minorHAnsi"/>
          <w:bCs/>
          <w:lang w:val="en-US"/>
        </w:rPr>
        <w:t xml:space="preserve">a </w:t>
      </w:r>
      <w:r w:rsidRPr="00FF2170">
        <w:rPr>
          <w:rFonts w:cstheme="minorHAnsi"/>
          <w:bCs/>
          <w:lang w:val="en-US"/>
        </w:rPr>
        <w:t>market-friendly approach.</w:t>
      </w:r>
    </w:p>
    <w:p w:rsidR="00EA4654" w:rsidRPr="00FF2170" w:rsidRDefault="00EA4654" w:rsidP="00FF2170">
      <w:pPr>
        <w:rPr>
          <w:rFonts w:cstheme="minorHAnsi"/>
          <w:bCs/>
          <w:lang w:val="en-US"/>
        </w:rPr>
      </w:pPr>
      <w:r w:rsidRPr="00FF2170">
        <w:rPr>
          <w:rFonts w:cstheme="minorHAnsi"/>
          <w:bCs/>
          <w:lang w:val="en-US"/>
        </w:rPr>
        <w:t>Disinvestment and Privatization of State owned enterprises in India started primarily in</w:t>
      </w:r>
      <w:r w:rsidR="005E0581" w:rsidRPr="00FF2170">
        <w:rPr>
          <w:rFonts w:cstheme="minorHAnsi"/>
          <w:bCs/>
          <w:lang w:val="en-US"/>
        </w:rPr>
        <w:t xml:space="preserve"> response to a balance of payments crisis in 199</w:t>
      </w:r>
      <w:r w:rsidRPr="00FF2170">
        <w:rPr>
          <w:rFonts w:cstheme="minorHAnsi"/>
          <w:bCs/>
          <w:lang w:val="en-US"/>
        </w:rPr>
        <w:t xml:space="preserve">1 when successive governments </w:t>
      </w:r>
      <w:r w:rsidR="005E0581" w:rsidRPr="00FF2170">
        <w:rPr>
          <w:rFonts w:cstheme="minorHAnsi"/>
          <w:bCs/>
          <w:lang w:val="en-US"/>
        </w:rPr>
        <w:t xml:space="preserve">undertook sweeping economic reforms. </w:t>
      </w:r>
    </w:p>
    <w:p w:rsidR="00026A8D" w:rsidRPr="00FF2170" w:rsidRDefault="00EA4654" w:rsidP="00FF2170">
      <w:pPr>
        <w:rPr>
          <w:rFonts w:cstheme="minorHAnsi"/>
          <w:bCs/>
          <w:lang w:val="en-US"/>
        </w:rPr>
      </w:pPr>
      <w:r w:rsidRPr="00FF2170">
        <w:rPr>
          <w:rFonts w:cstheme="minorHAnsi"/>
          <w:bCs/>
          <w:lang w:val="en-US"/>
        </w:rPr>
        <w:t xml:space="preserve">The policy of disinvestment has been </w:t>
      </w:r>
      <w:r w:rsidR="007868E8">
        <w:rPr>
          <w:rFonts w:cstheme="minorHAnsi"/>
          <w:bCs/>
          <w:lang w:val="en-US"/>
        </w:rPr>
        <w:t>spelt out</w:t>
      </w:r>
      <w:r w:rsidRPr="00FF2170">
        <w:rPr>
          <w:rFonts w:cstheme="minorHAnsi"/>
          <w:bCs/>
          <w:lang w:val="en-US"/>
        </w:rPr>
        <w:t xml:space="preserve"> through the statements of Finance Ministers in their</w:t>
      </w:r>
      <w:r w:rsidR="00257EA2" w:rsidRPr="00FF2170">
        <w:rPr>
          <w:rFonts w:cstheme="minorHAnsi"/>
          <w:bCs/>
          <w:lang w:val="en-US"/>
        </w:rPr>
        <w:t xml:space="preserve"> annual </w:t>
      </w:r>
      <w:r w:rsidR="00486AD4" w:rsidRPr="00FF2170">
        <w:rPr>
          <w:rFonts w:cstheme="minorHAnsi"/>
          <w:bCs/>
          <w:lang w:val="en-US"/>
        </w:rPr>
        <w:t>budget speeches</w:t>
      </w:r>
      <w:r w:rsidRPr="00FF2170">
        <w:rPr>
          <w:rFonts w:cstheme="minorHAnsi"/>
          <w:bCs/>
          <w:lang w:val="en-US"/>
        </w:rPr>
        <w:t xml:space="preserve">. </w:t>
      </w:r>
      <w:r w:rsidR="00026A8D" w:rsidRPr="00FF2170">
        <w:rPr>
          <w:rFonts w:cstheme="minorHAnsi"/>
          <w:bCs/>
          <w:lang w:val="en-US"/>
        </w:rPr>
        <w:t xml:space="preserve">Outlining the economic reforms, the Industrial Policy Resolution of 1991 argued for partial divestiture in government-owned …firms “in order to provide further market discipline to the performance of public </w:t>
      </w:r>
      <w:r w:rsidR="005A03F6" w:rsidRPr="00FF2170">
        <w:rPr>
          <w:rFonts w:cstheme="minorHAnsi"/>
          <w:bCs/>
          <w:lang w:val="en-US"/>
        </w:rPr>
        <w:t>enterprises</w:t>
      </w:r>
      <w:r w:rsidR="007868E8">
        <w:rPr>
          <w:rFonts w:cstheme="minorHAnsi"/>
          <w:bCs/>
          <w:lang w:val="en-US"/>
        </w:rPr>
        <w:t>”</w:t>
      </w:r>
      <w:r w:rsidR="005A03F6" w:rsidRPr="00FF2170">
        <w:rPr>
          <w:rFonts w:cstheme="minorHAnsi"/>
          <w:bCs/>
          <w:lang w:val="en-US"/>
        </w:rPr>
        <w:t>. Between</w:t>
      </w:r>
      <w:r w:rsidR="00026A8D" w:rsidRPr="00FF2170">
        <w:rPr>
          <w:rFonts w:cstheme="minorHAnsi"/>
          <w:bCs/>
          <w:lang w:val="en-US"/>
        </w:rPr>
        <w:t xml:space="preserve"> 1991 and 2004, nearly every government’s annual budget declared that the privatization goal is to reduce government ownership to 26% of equity, the minimum equity holding necessary for certain voting powers, in all government-owned firms except in the strategic sectors of defense, atomic energy, and railway secto</w:t>
      </w:r>
      <w:r w:rsidR="005A03F6" w:rsidRPr="00FF2170">
        <w:rPr>
          <w:rFonts w:cstheme="minorHAnsi"/>
          <w:bCs/>
          <w:lang w:val="en-US"/>
        </w:rPr>
        <w:t>r</w:t>
      </w:r>
      <w:r w:rsidR="005A03F6" w:rsidRPr="00FF2170">
        <w:rPr>
          <w:rStyle w:val="FootnoteReference"/>
          <w:rFonts w:cstheme="minorHAnsi"/>
          <w:bCs/>
          <w:lang w:val="en-US"/>
        </w:rPr>
        <w:footnoteReference w:id="18"/>
      </w:r>
      <w:r w:rsidR="00026A8D" w:rsidRPr="00FF2170">
        <w:rPr>
          <w:rFonts w:cstheme="minorHAnsi"/>
          <w:bCs/>
          <w:lang w:val="en-US"/>
        </w:rPr>
        <w:t>. However, until 1999, successive governments sold only minority stakes, sometimes as little as 0.1%, without transferring management control</w:t>
      </w:r>
      <w:r w:rsidR="005A03F6" w:rsidRPr="00FF2170">
        <w:rPr>
          <w:rFonts w:cstheme="minorHAnsi"/>
          <w:bCs/>
          <w:lang w:val="en-US"/>
        </w:rPr>
        <w:t xml:space="preserve"> and p</w:t>
      </w:r>
      <w:r w:rsidR="00026A8D" w:rsidRPr="00FF2170">
        <w:rPr>
          <w:rFonts w:cstheme="minorHAnsi"/>
          <w:bCs/>
          <w:lang w:val="en-US"/>
        </w:rPr>
        <w:t>artial privatization proved to be a lucrative source of revenues without the accompanying political controversy of transferring control of government-owned assets to private owners</w:t>
      </w:r>
      <w:r w:rsidR="005A03F6" w:rsidRPr="00FF2170">
        <w:rPr>
          <w:rStyle w:val="FootnoteReference"/>
          <w:rFonts w:cstheme="minorHAnsi"/>
          <w:bCs/>
          <w:lang w:val="en-US"/>
        </w:rPr>
        <w:footnoteReference w:id="19"/>
      </w:r>
      <w:r w:rsidR="00026A8D" w:rsidRPr="00FF2170">
        <w:rPr>
          <w:rFonts w:cstheme="minorHAnsi"/>
          <w:bCs/>
          <w:lang w:val="en-US"/>
        </w:rPr>
        <w:t>.</w:t>
      </w:r>
    </w:p>
    <w:p w:rsidR="005A03F6" w:rsidRPr="00FF2170" w:rsidRDefault="00EA4654" w:rsidP="00FF2170">
      <w:pPr>
        <w:rPr>
          <w:rFonts w:cstheme="minorHAnsi"/>
          <w:bCs/>
          <w:lang w:val="en-US"/>
        </w:rPr>
      </w:pPr>
      <w:r w:rsidRPr="00FF2170">
        <w:rPr>
          <w:rFonts w:cstheme="minorHAnsi"/>
          <w:bCs/>
          <w:lang w:val="en-US"/>
        </w:rPr>
        <w:t xml:space="preserve"> </w:t>
      </w:r>
      <w:r w:rsidR="007868E8">
        <w:rPr>
          <w:rFonts w:cstheme="minorHAnsi"/>
          <w:bCs/>
          <w:lang w:val="en-US"/>
        </w:rPr>
        <w:t xml:space="preserve">Post liberalization of the Indian Economy, </w:t>
      </w:r>
      <w:r w:rsidR="007868E8" w:rsidRPr="00FF2170">
        <w:rPr>
          <w:rFonts w:cstheme="minorHAnsi"/>
          <w:bCs/>
          <w:lang w:val="en-US"/>
        </w:rPr>
        <w:t>the</w:t>
      </w:r>
      <w:r w:rsidRPr="00FF2170">
        <w:rPr>
          <w:rFonts w:cstheme="minorHAnsi"/>
          <w:bCs/>
          <w:lang w:val="en-US"/>
        </w:rPr>
        <w:t xml:space="preserve"> disinvestment policy </w:t>
      </w:r>
      <w:r w:rsidR="005A03F6" w:rsidRPr="00FF2170">
        <w:rPr>
          <w:rFonts w:cstheme="minorHAnsi"/>
          <w:bCs/>
          <w:lang w:val="en-US"/>
        </w:rPr>
        <w:t xml:space="preserve">of the Government of India </w:t>
      </w:r>
      <w:r w:rsidRPr="00FF2170">
        <w:rPr>
          <w:rFonts w:cstheme="minorHAnsi"/>
          <w:bCs/>
          <w:lang w:val="en-US"/>
        </w:rPr>
        <w:t>can be briefly divided into three phase</w:t>
      </w:r>
      <w:r w:rsidR="005A03F6" w:rsidRPr="00FF2170">
        <w:rPr>
          <w:rFonts w:cstheme="minorHAnsi"/>
          <w:bCs/>
          <w:lang w:val="en-US"/>
        </w:rPr>
        <w:t>s</w:t>
      </w:r>
      <w:r w:rsidR="005A03F6" w:rsidRPr="00FF2170">
        <w:rPr>
          <w:rStyle w:val="FootnoteReference"/>
          <w:rFonts w:cstheme="minorHAnsi"/>
          <w:bCs/>
          <w:lang w:val="en-US"/>
        </w:rPr>
        <w:footnoteReference w:id="20"/>
      </w:r>
      <w:r w:rsidRPr="00FF2170">
        <w:rPr>
          <w:rFonts w:cstheme="minorHAnsi"/>
          <w:bCs/>
          <w:lang w:val="en-US"/>
        </w:rPr>
        <w:t>, viz</w:t>
      </w:r>
      <w:r w:rsidR="00486AD4" w:rsidRPr="00FF2170">
        <w:rPr>
          <w:rFonts w:cstheme="minorHAnsi"/>
          <w:bCs/>
          <w:lang w:val="en-US"/>
        </w:rPr>
        <w:t>,</w:t>
      </w:r>
    </w:p>
    <w:p w:rsidR="00EA4654" w:rsidRPr="00FF2170" w:rsidRDefault="00EA4654" w:rsidP="00FF2170">
      <w:pPr>
        <w:rPr>
          <w:rFonts w:cstheme="minorHAnsi"/>
          <w:bCs/>
          <w:lang w:val="en-US"/>
        </w:rPr>
      </w:pPr>
      <w:r w:rsidRPr="00FF2170">
        <w:rPr>
          <w:rFonts w:cstheme="minorHAnsi"/>
          <w:bCs/>
          <w:lang w:val="en-US"/>
        </w:rPr>
        <w:t xml:space="preserve"> (i) 1991-92 to 1998-99: </w:t>
      </w:r>
      <w:r w:rsidR="00486AD4" w:rsidRPr="00FF2170">
        <w:rPr>
          <w:rFonts w:cstheme="minorHAnsi"/>
          <w:bCs/>
          <w:lang w:val="en-US"/>
        </w:rPr>
        <w:t>w</w:t>
      </w:r>
      <w:r w:rsidRPr="00FF2170">
        <w:rPr>
          <w:rFonts w:cstheme="minorHAnsi"/>
          <w:bCs/>
          <w:lang w:val="en-US"/>
        </w:rPr>
        <w:t xml:space="preserve">hen the focus was on disinvestment of minority shareholding in </w:t>
      </w:r>
      <w:r w:rsidR="00026A8D" w:rsidRPr="00FF2170">
        <w:rPr>
          <w:rFonts w:cstheme="minorHAnsi"/>
          <w:bCs/>
          <w:lang w:val="en-US"/>
        </w:rPr>
        <w:t>favor</w:t>
      </w:r>
      <w:r w:rsidRPr="00FF2170">
        <w:rPr>
          <w:rFonts w:cstheme="minorHAnsi"/>
          <w:bCs/>
          <w:lang w:val="en-US"/>
        </w:rPr>
        <w:t xml:space="preserve"> of financial institutions.</w:t>
      </w:r>
    </w:p>
    <w:p w:rsidR="005A03F6" w:rsidRPr="00FF2170" w:rsidRDefault="00EA4654" w:rsidP="00FF2170">
      <w:pPr>
        <w:rPr>
          <w:rFonts w:cstheme="minorHAnsi"/>
          <w:bCs/>
          <w:lang w:val="en-US"/>
        </w:rPr>
      </w:pPr>
      <w:r w:rsidRPr="00FF2170">
        <w:rPr>
          <w:rFonts w:cstheme="minorHAnsi"/>
          <w:bCs/>
          <w:lang w:val="en-US"/>
        </w:rPr>
        <w:t>(ii) 199</w:t>
      </w:r>
      <w:r w:rsidR="005A03F6" w:rsidRPr="00FF2170">
        <w:rPr>
          <w:rFonts w:cstheme="minorHAnsi"/>
          <w:bCs/>
          <w:lang w:val="en-US"/>
        </w:rPr>
        <w:t>9</w:t>
      </w:r>
      <w:r w:rsidRPr="00FF2170">
        <w:rPr>
          <w:rFonts w:cstheme="minorHAnsi"/>
          <w:bCs/>
          <w:lang w:val="en-US"/>
        </w:rPr>
        <w:t xml:space="preserve">-2000 to 2003-04: </w:t>
      </w:r>
      <w:r w:rsidR="00486AD4" w:rsidRPr="00FF2170">
        <w:rPr>
          <w:rFonts w:cstheme="minorHAnsi"/>
          <w:bCs/>
          <w:lang w:val="en-US"/>
        </w:rPr>
        <w:t>w</w:t>
      </w:r>
      <w:r w:rsidRPr="00FF2170">
        <w:rPr>
          <w:rFonts w:cstheme="minorHAnsi"/>
          <w:bCs/>
          <w:lang w:val="en-US"/>
        </w:rPr>
        <w:t>hen the focus was on disinvestment through strategic sale</w:t>
      </w:r>
      <w:r w:rsidR="005A03F6" w:rsidRPr="00FF2170">
        <w:rPr>
          <w:rFonts w:cstheme="minorHAnsi"/>
          <w:bCs/>
          <w:lang w:val="en-US"/>
        </w:rPr>
        <w:t xml:space="preserve"> and,</w:t>
      </w:r>
    </w:p>
    <w:p w:rsidR="00EA4654" w:rsidRPr="00FF2170" w:rsidRDefault="00EA4654" w:rsidP="00FF2170">
      <w:pPr>
        <w:rPr>
          <w:rFonts w:cstheme="minorHAnsi"/>
          <w:bCs/>
          <w:lang w:val="en-US"/>
        </w:rPr>
      </w:pPr>
      <w:r w:rsidRPr="00FF2170">
        <w:rPr>
          <w:rFonts w:cstheme="minorHAnsi"/>
          <w:bCs/>
          <w:lang w:val="en-US"/>
        </w:rPr>
        <w:t xml:space="preserve">(iii) Since 2004-05: </w:t>
      </w:r>
      <w:r w:rsidR="00486AD4" w:rsidRPr="00FF2170">
        <w:rPr>
          <w:rFonts w:cstheme="minorHAnsi"/>
          <w:bCs/>
          <w:lang w:val="en-US"/>
        </w:rPr>
        <w:t>t</w:t>
      </w:r>
      <w:r w:rsidRPr="00FF2170">
        <w:rPr>
          <w:rFonts w:cstheme="minorHAnsi"/>
          <w:bCs/>
          <w:lang w:val="en-US"/>
        </w:rPr>
        <w:t xml:space="preserve">he </w:t>
      </w:r>
      <w:r w:rsidR="00486AD4" w:rsidRPr="00FF2170">
        <w:rPr>
          <w:rFonts w:cstheme="minorHAnsi"/>
          <w:bCs/>
          <w:lang w:val="en-US"/>
        </w:rPr>
        <w:t xml:space="preserve">current </w:t>
      </w:r>
      <w:r w:rsidRPr="00FF2170">
        <w:rPr>
          <w:rFonts w:cstheme="minorHAnsi"/>
          <w:bCs/>
          <w:lang w:val="en-US"/>
        </w:rPr>
        <w:t xml:space="preserve">focus is on disinvestment of </w:t>
      </w:r>
      <w:r w:rsidR="007868E8">
        <w:rPr>
          <w:rFonts w:cstheme="minorHAnsi"/>
          <w:bCs/>
          <w:lang w:val="en-US"/>
        </w:rPr>
        <w:t xml:space="preserve">only </w:t>
      </w:r>
      <w:r w:rsidRPr="00FF2170">
        <w:rPr>
          <w:rFonts w:cstheme="minorHAnsi"/>
          <w:bCs/>
          <w:lang w:val="en-US"/>
        </w:rPr>
        <w:t>minority stakes in conjunction with issue of fresh equity by CPSEs</w:t>
      </w:r>
      <w:r w:rsidR="007868E8">
        <w:rPr>
          <w:rFonts w:cstheme="minorHAnsi"/>
          <w:bCs/>
          <w:lang w:val="en-US"/>
        </w:rPr>
        <w:t xml:space="preserve"> with partial disinvestment as the stated policy of the State</w:t>
      </w:r>
      <w:r w:rsidRPr="00FF2170">
        <w:rPr>
          <w:rFonts w:cstheme="minorHAnsi"/>
          <w:bCs/>
          <w:lang w:val="en-US"/>
        </w:rPr>
        <w:t>.</w:t>
      </w:r>
    </w:p>
    <w:p w:rsidR="00AA02A2" w:rsidRDefault="00AA02A2" w:rsidP="00FF2170">
      <w:pPr>
        <w:rPr>
          <w:rFonts w:cstheme="minorHAnsi"/>
          <w:bCs/>
          <w:lang w:val="en-US"/>
        </w:rPr>
      </w:pPr>
    </w:p>
    <w:p w:rsidR="005A03F6" w:rsidRPr="00FF2170" w:rsidRDefault="00026A8D" w:rsidP="00FF2170">
      <w:pPr>
        <w:rPr>
          <w:rFonts w:cstheme="minorHAnsi"/>
          <w:bCs/>
          <w:lang w:val="en-US"/>
        </w:rPr>
      </w:pPr>
      <w:r w:rsidRPr="00FF2170">
        <w:rPr>
          <w:rFonts w:cstheme="minorHAnsi"/>
          <w:bCs/>
          <w:lang w:val="en-US"/>
        </w:rPr>
        <w:lastRenderedPageBreak/>
        <w:t>The current policy on disinvestment was approved by the Government on 5th November, 2009</w:t>
      </w:r>
      <w:r w:rsidR="005A03F6" w:rsidRPr="00FF2170">
        <w:rPr>
          <w:rStyle w:val="FootnoteReference"/>
          <w:rFonts w:cstheme="minorHAnsi"/>
          <w:bCs/>
          <w:lang w:val="en-US"/>
        </w:rPr>
        <w:footnoteReference w:id="21"/>
      </w:r>
      <w:r w:rsidRPr="00FF2170">
        <w:rPr>
          <w:rFonts w:cstheme="minorHAnsi"/>
          <w:bCs/>
          <w:lang w:val="en-US"/>
        </w:rPr>
        <w:t>.</w:t>
      </w:r>
      <w:r w:rsidR="00486AD4" w:rsidRPr="00FF2170">
        <w:rPr>
          <w:rFonts w:cstheme="minorHAnsi"/>
          <w:bCs/>
          <w:lang w:val="en-US"/>
        </w:rPr>
        <w:t xml:space="preserve"> </w:t>
      </w:r>
      <w:r w:rsidR="007868E8">
        <w:rPr>
          <w:rFonts w:cstheme="minorHAnsi"/>
          <w:bCs/>
          <w:lang w:val="en-US"/>
        </w:rPr>
        <w:t xml:space="preserve"> It recognizes</w:t>
      </w:r>
      <w:r w:rsidR="00486AD4" w:rsidRPr="00FF2170">
        <w:rPr>
          <w:rFonts w:cstheme="minorHAnsi"/>
          <w:bCs/>
          <w:lang w:val="en-US"/>
        </w:rPr>
        <w:t xml:space="preserve"> </w:t>
      </w:r>
      <w:r w:rsidR="007868E8">
        <w:rPr>
          <w:rFonts w:cstheme="minorHAnsi"/>
          <w:bCs/>
          <w:lang w:val="en-US"/>
        </w:rPr>
        <w:t>th</w:t>
      </w:r>
      <w:r w:rsidR="00486AD4" w:rsidRPr="00FF2170">
        <w:rPr>
          <w:rFonts w:cstheme="minorHAnsi"/>
          <w:bCs/>
          <w:lang w:val="en-US"/>
        </w:rPr>
        <w:t xml:space="preserve">at </w:t>
      </w:r>
      <w:r w:rsidR="007868E8">
        <w:rPr>
          <w:rFonts w:cstheme="minorHAnsi"/>
          <w:bCs/>
          <w:lang w:val="en-US"/>
        </w:rPr>
        <w:t>C</w:t>
      </w:r>
      <w:r w:rsidR="00486AD4" w:rsidRPr="00FF2170">
        <w:rPr>
          <w:rFonts w:cstheme="minorHAnsi"/>
          <w:bCs/>
          <w:lang w:val="en-US"/>
        </w:rPr>
        <w:t xml:space="preserve">PSEs are the wealth of the nation </w:t>
      </w:r>
      <w:r w:rsidR="007868E8">
        <w:rPr>
          <w:rFonts w:cstheme="minorHAnsi"/>
          <w:bCs/>
          <w:lang w:val="en-US"/>
        </w:rPr>
        <w:t xml:space="preserve">whose ownership </w:t>
      </w:r>
      <w:r w:rsidR="00486AD4" w:rsidRPr="00FF2170">
        <w:rPr>
          <w:rFonts w:cstheme="minorHAnsi"/>
          <w:bCs/>
          <w:lang w:val="en-US"/>
        </w:rPr>
        <w:t xml:space="preserve">should rest in the hands of the people </w:t>
      </w:r>
      <w:r w:rsidRPr="00FF2170">
        <w:rPr>
          <w:rFonts w:cstheme="minorHAnsi"/>
          <w:bCs/>
          <w:lang w:val="en-US"/>
        </w:rPr>
        <w:t xml:space="preserve">while ensuring that Government </w:t>
      </w:r>
      <w:r w:rsidR="007868E8">
        <w:rPr>
          <w:rFonts w:cstheme="minorHAnsi"/>
          <w:bCs/>
          <w:lang w:val="en-US"/>
        </w:rPr>
        <w:t>ownership</w:t>
      </w:r>
      <w:r w:rsidRPr="00FF2170">
        <w:rPr>
          <w:rFonts w:cstheme="minorHAnsi"/>
          <w:bCs/>
          <w:lang w:val="en-US"/>
        </w:rPr>
        <w:t xml:space="preserve"> does not fall below 51% and Government retains the management control. </w:t>
      </w:r>
    </w:p>
    <w:p w:rsidR="00026A8D" w:rsidRPr="00FF2170" w:rsidRDefault="00026A8D" w:rsidP="00FF2170">
      <w:pPr>
        <w:rPr>
          <w:rFonts w:cstheme="minorHAnsi"/>
          <w:bCs/>
          <w:lang w:val="en-US"/>
        </w:rPr>
      </w:pPr>
      <w:r w:rsidRPr="00FF2170">
        <w:rPr>
          <w:rFonts w:cstheme="minorHAnsi"/>
          <w:bCs/>
          <w:lang w:val="en-US"/>
        </w:rPr>
        <w:t xml:space="preserve"> Keeping in view the policy on disinvestment, the following approach to disinvestment in CPSEs has been adopted</w:t>
      </w:r>
      <w:r w:rsidR="00AA02A2">
        <w:rPr>
          <w:rStyle w:val="FootnoteReference"/>
          <w:rFonts w:cstheme="minorHAnsi"/>
          <w:bCs/>
          <w:lang w:val="en-US"/>
        </w:rPr>
        <w:footnoteReference w:id="22"/>
      </w:r>
      <w:r w:rsidRPr="00FF2170">
        <w:rPr>
          <w:rFonts w:cstheme="minorHAnsi"/>
          <w:bCs/>
          <w:lang w:val="en-US"/>
        </w:rPr>
        <w:t>:</w:t>
      </w:r>
    </w:p>
    <w:p w:rsidR="00486AD4" w:rsidRPr="00FF2170" w:rsidRDefault="00486AD4" w:rsidP="00FF2170">
      <w:pPr>
        <w:pStyle w:val="ListParagraph"/>
        <w:numPr>
          <w:ilvl w:val="0"/>
          <w:numId w:val="19"/>
        </w:numPr>
        <w:rPr>
          <w:rFonts w:cstheme="minorHAnsi"/>
          <w:bCs/>
          <w:lang w:val="en-US"/>
        </w:rPr>
      </w:pPr>
      <w:r w:rsidRPr="00FF2170">
        <w:rPr>
          <w:rFonts w:cstheme="minorHAnsi"/>
          <w:bCs/>
          <w:lang w:val="en-US"/>
        </w:rPr>
        <w:t>Already listed profitable CPSEs (not meeting mandatory shareholding of 10%) are to be made compliant by ‘Offer for Sale’ by Government or by the CPSEs through issue of fresh shares or a combination of both.</w:t>
      </w:r>
    </w:p>
    <w:p w:rsidR="00486AD4" w:rsidRPr="00FF2170" w:rsidRDefault="00486AD4" w:rsidP="00FF2170">
      <w:pPr>
        <w:pStyle w:val="ListParagraph"/>
        <w:numPr>
          <w:ilvl w:val="0"/>
          <w:numId w:val="19"/>
        </w:numPr>
        <w:rPr>
          <w:rFonts w:cstheme="minorHAnsi"/>
          <w:bCs/>
          <w:lang w:val="en-US"/>
        </w:rPr>
      </w:pPr>
      <w:r w:rsidRPr="00FF2170">
        <w:rPr>
          <w:rFonts w:cstheme="minorHAnsi"/>
          <w:bCs/>
          <w:lang w:val="en-US"/>
        </w:rPr>
        <w:t>Unlisted CPSEs with no accumulated losses and having earned net profit in three preceding consecutive years are to be listed.</w:t>
      </w:r>
    </w:p>
    <w:p w:rsidR="00486AD4" w:rsidRPr="00FF2170" w:rsidRDefault="00486AD4" w:rsidP="00FF2170">
      <w:pPr>
        <w:pStyle w:val="ListParagraph"/>
        <w:numPr>
          <w:ilvl w:val="0"/>
          <w:numId w:val="19"/>
        </w:numPr>
        <w:rPr>
          <w:rFonts w:cstheme="minorHAnsi"/>
          <w:bCs/>
          <w:lang w:val="en-US"/>
        </w:rPr>
      </w:pPr>
      <w:r w:rsidRPr="00FF2170">
        <w:rPr>
          <w:rFonts w:cstheme="minorHAnsi"/>
          <w:bCs/>
          <w:lang w:val="en-US"/>
        </w:rPr>
        <w:t>Follow-on public offers would be considered taking into consideration the needs for capital investment of CPSE, on a case by case basis, and Government could simultaneously or independently offer a portion of its equity shareholding</w:t>
      </w:r>
    </w:p>
    <w:p w:rsidR="00486AD4" w:rsidRPr="00FF2170" w:rsidRDefault="00486AD4" w:rsidP="00FF2170">
      <w:pPr>
        <w:pStyle w:val="ListParagraph"/>
        <w:numPr>
          <w:ilvl w:val="0"/>
          <w:numId w:val="19"/>
        </w:numPr>
        <w:rPr>
          <w:rFonts w:cstheme="minorHAnsi"/>
          <w:bCs/>
          <w:lang w:val="en-US"/>
        </w:rPr>
      </w:pPr>
      <w:r w:rsidRPr="00FF2170">
        <w:rPr>
          <w:rFonts w:cstheme="minorHAnsi"/>
          <w:bCs/>
          <w:lang w:val="en-US"/>
        </w:rPr>
        <w:t>In all cases of disinvestment, the Government would retain at least 51% equity and the management control.</w:t>
      </w:r>
    </w:p>
    <w:p w:rsidR="00486AD4" w:rsidRPr="00FF2170" w:rsidRDefault="00486AD4" w:rsidP="00FF2170">
      <w:pPr>
        <w:pStyle w:val="ListParagraph"/>
        <w:numPr>
          <w:ilvl w:val="0"/>
          <w:numId w:val="19"/>
        </w:numPr>
        <w:rPr>
          <w:rFonts w:cstheme="minorHAnsi"/>
          <w:bCs/>
          <w:lang w:val="en-US"/>
        </w:rPr>
      </w:pPr>
      <w:r w:rsidRPr="00FF2170">
        <w:rPr>
          <w:rFonts w:cstheme="minorHAnsi"/>
          <w:bCs/>
          <w:lang w:val="en-US"/>
        </w:rPr>
        <w:t>All cases of disinvestment are to be decided on a case by case basis</w:t>
      </w:r>
    </w:p>
    <w:p w:rsidR="00486AD4" w:rsidRPr="00FF2170" w:rsidRDefault="00486AD4" w:rsidP="00FF2170">
      <w:pPr>
        <w:pStyle w:val="ListParagraph"/>
        <w:numPr>
          <w:ilvl w:val="0"/>
          <w:numId w:val="19"/>
        </w:numPr>
        <w:rPr>
          <w:rFonts w:cstheme="minorHAnsi"/>
          <w:bCs/>
          <w:lang w:val="en-US"/>
        </w:rPr>
      </w:pPr>
      <w:r w:rsidRPr="00FF2170">
        <w:rPr>
          <w:rFonts w:cstheme="minorHAnsi"/>
          <w:bCs/>
          <w:lang w:val="en-US"/>
        </w:rPr>
        <w:t>The Department of Disinvestment is to identify CPSEs in consultation with respective administrative Ministries and submit proposal to Government in cases requiring Offer for sale of Government equity</w:t>
      </w:r>
    </w:p>
    <w:p w:rsidR="005E0581" w:rsidRPr="00FF2170" w:rsidRDefault="00257EA2" w:rsidP="00FF2170">
      <w:pPr>
        <w:rPr>
          <w:rFonts w:cstheme="minorHAnsi"/>
          <w:bCs/>
          <w:lang w:val="en-US"/>
        </w:rPr>
      </w:pPr>
      <w:r w:rsidRPr="00FF2170">
        <w:rPr>
          <w:rFonts w:cstheme="minorHAnsi"/>
          <w:bCs/>
          <w:lang w:val="en-US"/>
        </w:rPr>
        <w:t>While disinvestments has been a consistent policy that has been followed by successive governments from 1991, th</w:t>
      </w:r>
      <w:r w:rsidR="005E0581" w:rsidRPr="00FF2170">
        <w:rPr>
          <w:rFonts w:cstheme="minorHAnsi"/>
          <w:bCs/>
          <w:lang w:val="en-US"/>
        </w:rPr>
        <w:t>e ideologically-left</w:t>
      </w:r>
      <w:r w:rsidRPr="00FF2170">
        <w:rPr>
          <w:rFonts w:cstheme="minorHAnsi"/>
          <w:bCs/>
          <w:lang w:val="en-US"/>
        </w:rPr>
        <w:t xml:space="preserve"> of centre Congress led UPA government ,which </w:t>
      </w:r>
      <w:r w:rsidR="005E0581" w:rsidRPr="00FF2170">
        <w:rPr>
          <w:rFonts w:cstheme="minorHAnsi"/>
          <w:bCs/>
          <w:lang w:val="en-US"/>
        </w:rPr>
        <w:t xml:space="preserve"> initiated the privatization program in 1991</w:t>
      </w:r>
      <w:r w:rsidRPr="00FF2170">
        <w:rPr>
          <w:rFonts w:cstheme="minorHAnsi"/>
          <w:bCs/>
          <w:lang w:val="en-US"/>
        </w:rPr>
        <w:t xml:space="preserve">, has refrained </w:t>
      </w:r>
      <w:r w:rsidR="005E0581" w:rsidRPr="00FF2170">
        <w:rPr>
          <w:rFonts w:cstheme="minorHAnsi"/>
          <w:bCs/>
          <w:lang w:val="en-US"/>
        </w:rPr>
        <w:t xml:space="preserve"> </w:t>
      </w:r>
      <w:r w:rsidRPr="00FF2170">
        <w:rPr>
          <w:rFonts w:cstheme="minorHAnsi"/>
          <w:bCs/>
          <w:lang w:val="en-US"/>
        </w:rPr>
        <w:t xml:space="preserve">from selling the </w:t>
      </w:r>
      <w:r w:rsidR="005E0581" w:rsidRPr="00FF2170">
        <w:rPr>
          <w:rFonts w:cstheme="minorHAnsi"/>
          <w:bCs/>
          <w:lang w:val="en-US"/>
        </w:rPr>
        <w:t xml:space="preserve"> majority stake and transfer management control in </w:t>
      </w:r>
      <w:r w:rsidRPr="00FF2170">
        <w:rPr>
          <w:rFonts w:cstheme="minorHAnsi"/>
          <w:bCs/>
          <w:lang w:val="en-US"/>
        </w:rPr>
        <w:t>State owned enterprises –which was briefly pursued by the BJP led NDA government.</w:t>
      </w:r>
    </w:p>
    <w:p w:rsidR="005669BD" w:rsidRDefault="007F1172" w:rsidP="00FF2170">
      <w:pPr>
        <w:rPr>
          <w:rFonts w:cstheme="minorHAnsi"/>
          <w:bCs/>
          <w:lang w:val="en-US"/>
        </w:rPr>
      </w:pPr>
      <w:r w:rsidRPr="00FF2170">
        <w:rPr>
          <w:rFonts w:cstheme="minorHAnsi"/>
          <w:bCs/>
          <w:lang w:val="en-US"/>
        </w:rPr>
        <w:t>The</w:t>
      </w:r>
      <w:r w:rsidR="0029508D" w:rsidRPr="00FF2170">
        <w:rPr>
          <w:rFonts w:cstheme="minorHAnsi"/>
          <w:bCs/>
          <w:lang w:val="en-US"/>
        </w:rPr>
        <w:t xml:space="preserve"> slow</w:t>
      </w:r>
      <w:r w:rsidRPr="00FF2170">
        <w:rPr>
          <w:rFonts w:cstheme="minorHAnsi"/>
          <w:bCs/>
          <w:lang w:val="en-US"/>
        </w:rPr>
        <w:t xml:space="preserve"> progress in privatization since 2004 is mainly attributed to the fact that the</w:t>
      </w:r>
      <w:r w:rsidR="00BD5BF2" w:rsidRPr="00FF2170">
        <w:rPr>
          <w:rFonts w:cstheme="minorHAnsi"/>
          <w:bCs/>
          <w:lang w:val="en-US"/>
        </w:rPr>
        <w:t xml:space="preserve"> Congress </w:t>
      </w:r>
      <w:r w:rsidR="00F8399E" w:rsidRPr="00FF2170">
        <w:rPr>
          <w:rFonts w:cstheme="minorHAnsi"/>
          <w:bCs/>
          <w:lang w:val="en-US"/>
        </w:rPr>
        <w:t>led UPA</w:t>
      </w:r>
      <w:r w:rsidR="0029508D" w:rsidRPr="00FF2170">
        <w:rPr>
          <w:rFonts w:cstheme="minorHAnsi"/>
          <w:bCs/>
          <w:lang w:val="en-US"/>
        </w:rPr>
        <w:t xml:space="preserve"> </w:t>
      </w:r>
      <w:r w:rsidRPr="00FF2170">
        <w:rPr>
          <w:rFonts w:cstheme="minorHAnsi"/>
          <w:bCs/>
          <w:lang w:val="en-US"/>
        </w:rPr>
        <w:t xml:space="preserve">coalition government </w:t>
      </w:r>
      <w:r w:rsidR="0029508D" w:rsidRPr="00FF2170">
        <w:rPr>
          <w:rFonts w:cstheme="minorHAnsi"/>
          <w:bCs/>
          <w:lang w:val="en-US"/>
        </w:rPr>
        <w:t>is dependent on the support</w:t>
      </w:r>
      <w:r w:rsidRPr="00FF2170">
        <w:rPr>
          <w:rFonts w:cstheme="minorHAnsi"/>
          <w:bCs/>
          <w:lang w:val="en-US"/>
        </w:rPr>
        <w:t xml:space="preserve"> of anti-privatization political parties to maintain a parliamentary majority </w:t>
      </w:r>
      <w:r w:rsidR="0029508D" w:rsidRPr="00FF2170">
        <w:rPr>
          <w:rFonts w:cstheme="minorHAnsi"/>
          <w:bCs/>
          <w:lang w:val="en-US"/>
        </w:rPr>
        <w:t>and has</w:t>
      </w:r>
      <w:r w:rsidRPr="00FF2170">
        <w:rPr>
          <w:rFonts w:cstheme="minorHAnsi"/>
          <w:bCs/>
          <w:lang w:val="en-US"/>
        </w:rPr>
        <w:t xml:space="preserve"> not received support from its alliance partners to the privatization program</w:t>
      </w:r>
      <w:r w:rsidR="00FE3831">
        <w:rPr>
          <w:rStyle w:val="FootnoteReference"/>
          <w:rFonts w:cstheme="minorHAnsi"/>
          <w:bCs/>
          <w:lang w:val="en-US"/>
        </w:rPr>
        <w:footnoteReference w:id="23"/>
      </w:r>
      <w:r w:rsidRPr="00FF2170">
        <w:rPr>
          <w:rFonts w:cstheme="minorHAnsi"/>
          <w:bCs/>
          <w:lang w:val="en-US"/>
        </w:rPr>
        <w:t>.</w:t>
      </w:r>
      <w:r w:rsidR="0029508D" w:rsidRPr="00FF2170">
        <w:rPr>
          <w:rFonts w:cstheme="minorHAnsi"/>
          <w:bCs/>
          <w:lang w:val="en-US"/>
        </w:rPr>
        <w:t xml:space="preserve"> </w:t>
      </w:r>
    </w:p>
    <w:p w:rsidR="007332C2" w:rsidRPr="00FF2170" w:rsidRDefault="007F1172" w:rsidP="00FF2170">
      <w:pPr>
        <w:rPr>
          <w:rFonts w:eastAsiaTheme="minorHAnsi" w:cstheme="minorHAnsi"/>
          <w:color w:val="000000"/>
          <w:lang w:val="en-US" w:eastAsia="en-US"/>
        </w:rPr>
      </w:pPr>
      <w:r w:rsidRPr="00FF2170">
        <w:rPr>
          <w:rFonts w:eastAsiaTheme="minorHAnsi" w:cstheme="minorHAnsi"/>
          <w:lang w:val="en-US" w:eastAsia="en-US"/>
        </w:rPr>
        <w:t xml:space="preserve">The anecdotal evidence that in India political considerations and compulsions have played a major role in how successive governments have looked at privatization is backed by </w:t>
      </w:r>
      <w:r w:rsidR="005669BD">
        <w:rPr>
          <w:rFonts w:eastAsiaTheme="minorHAnsi" w:cstheme="minorHAnsi"/>
          <w:lang w:val="en-US" w:eastAsia="en-US"/>
        </w:rPr>
        <w:t xml:space="preserve">empirical </w:t>
      </w:r>
      <w:r w:rsidRPr="00FF2170">
        <w:rPr>
          <w:rFonts w:eastAsiaTheme="minorHAnsi" w:cstheme="minorHAnsi"/>
          <w:lang w:val="en-US" w:eastAsia="en-US"/>
        </w:rPr>
        <w:t>research</w:t>
      </w:r>
      <w:r w:rsidR="00BD5BF2" w:rsidRPr="00FF2170">
        <w:rPr>
          <w:rFonts w:eastAsiaTheme="minorHAnsi" w:cstheme="minorHAnsi"/>
          <w:lang w:val="en-US" w:eastAsia="en-US"/>
        </w:rPr>
        <w:t xml:space="preserve"> studies</w:t>
      </w:r>
      <w:r w:rsidRPr="00FF2170">
        <w:rPr>
          <w:rStyle w:val="FootnoteReference"/>
          <w:rFonts w:eastAsiaTheme="minorHAnsi" w:cstheme="minorHAnsi"/>
          <w:lang w:val="en-US" w:eastAsia="en-US"/>
        </w:rPr>
        <w:footnoteReference w:id="24"/>
      </w:r>
      <w:r w:rsidRPr="00FF2170">
        <w:rPr>
          <w:rFonts w:eastAsiaTheme="minorHAnsi" w:cstheme="minorHAnsi"/>
          <w:lang w:val="en-US" w:eastAsia="en-US"/>
        </w:rPr>
        <w:t>.</w:t>
      </w:r>
    </w:p>
    <w:p w:rsidR="006D2800" w:rsidRPr="00FF2170" w:rsidRDefault="006D2800" w:rsidP="00FF2170">
      <w:pPr>
        <w:rPr>
          <w:rFonts w:eastAsiaTheme="minorHAnsi" w:cstheme="minorHAnsi"/>
          <w:color w:val="000000"/>
          <w:lang w:val="en-US" w:eastAsia="en-US"/>
        </w:rPr>
      </w:pPr>
      <w:r w:rsidRPr="00FF2170">
        <w:rPr>
          <w:rFonts w:eastAsiaTheme="minorHAnsi" w:cstheme="minorHAnsi"/>
          <w:color w:val="000000"/>
          <w:lang w:val="en-US" w:eastAsia="en-US"/>
        </w:rPr>
        <w:lastRenderedPageBreak/>
        <w:t>Since the start of the privatization program after 1991, so far the Government of India has been able to raise nearly Rs 1002 billion (approx US$ 20 billion at a parity of I US $=Rs50), however the bulk of the receipts (nearly 82%) have come from the sale of minority shareholding in CPSEs; receipts from strategic sales account for a miniscule 6% of the total receipts.</w:t>
      </w:r>
    </w:p>
    <w:p w:rsidR="00B3102C" w:rsidRPr="00FF2170" w:rsidRDefault="00B3102C" w:rsidP="00FF2170">
      <w:pPr>
        <w:spacing w:line="120" w:lineRule="auto"/>
        <w:rPr>
          <w:rFonts w:eastAsiaTheme="minorHAnsi" w:cstheme="minorHAnsi"/>
          <w:color w:val="000000"/>
          <w:lang w:val="en-US" w:eastAsia="en-US"/>
        </w:rPr>
      </w:pPr>
    </w:p>
    <w:tbl>
      <w:tblPr>
        <w:tblStyle w:val="TableGrid"/>
        <w:tblW w:w="0" w:type="auto"/>
        <w:tblInd w:w="288" w:type="dxa"/>
        <w:tblLook w:val="04A0"/>
      </w:tblPr>
      <w:tblGrid>
        <w:gridCol w:w="1053"/>
        <w:gridCol w:w="6057"/>
        <w:gridCol w:w="3078"/>
      </w:tblGrid>
      <w:tr w:rsidR="00B3102C" w:rsidRPr="00FF2170" w:rsidTr="001F3FB2">
        <w:tc>
          <w:tcPr>
            <w:tcW w:w="0" w:type="auto"/>
          </w:tcPr>
          <w:p w:rsidR="00B3102C" w:rsidRPr="00FF2170" w:rsidRDefault="00B3102C" w:rsidP="00877E7A">
            <w:pPr>
              <w:spacing w:after="200" w:line="276" w:lineRule="auto"/>
              <w:jc w:val="center"/>
              <w:rPr>
                <w:rFonts w:cstheme="minorHAnsi"/>
                <w:b/>
                <w:u w:val="single"/>
              </w:rPr>
            </w:pPr>
            <w:r w:rsidRPr="00FF2170">
              <w:rPr>
                <w:rFonts w:cstheme="minorHAnsi"/>
                <w:b/>
                <w:u w:val="single"/>
              </w:rPr>
              <w:t>Serial No.</w:t>
            </w:r>
          </w:p>
        </w:tc>
        <w:tc>
          <w:tcPr>
            <w:tcW w:w="6057" w:type="dxa"/>
          </w:tcPr>
          <w:p w:rsidR="00B3102C" w:rsidRPr="00FF2170" w:rsidRDefault="00B3102C" w:rsidP="00877E7A">
            <w:pPr>
              <w:spacing w:after="200" w:line="276" w:lineRule="auto"/>
              <w:jc w:val="center"/>
              <w:rPr>
                <w:rFonts w:cstheme="minorHAnsi"/>
                <w:b/>
                <w:u w:val="single"/>
              </w:rPr>
            </w:pPr>
            <w:r w:rsidRPr="00FF2170">
              <w:rPr>
                <w:rFonts w:cstheme="minorHAnsi"/>
                <w:b/>
                <w:u w:val="single"/>
              </w:rPr>
              <w:t>Method of Disinvestment</w:t>
            </w:r>
          </w:p>
        </w:tc>
        <w:tc>
          <w:tcPr>
            <w:tcW w:w="3078" w:type="dxa"/>
          </w:tcPr>
          <w:p w:rsidR="00B3102C" w:rsidRPr="00FF2170" w:rsidRDefault="00B3102C" w:rsidP="00877E7A">
            <w:pPr>
              <w:spacing w:after="200" w:line="276" w:lineRule="auto"/>
              <w:jc w:val="center"/>
              <w:rPr>
                <w:rFonts w:cstheme="minorHAnsi"/>
                <w:b/>
                <w:u w:val="single"/>
              </w:rPr>
            </w:pPr>
            <w:r w:rsidRPr="00FF2170">
              <w:rPr>
                <w:rFonts w:cstheme="minorHAnsi"/>
                <w:b/>
                <w:u w:val="single"/>
              </w:rPr>
              <w:t>Amount Raised from 1991-92*</w:t>
            </w:r>
          </w:p>
          <w:p w:rsidR="00B3102C" w:rsidRPr="00FF2170" w:rsidRDefault="00B3102C" w:rsidP="00877E7A">
            <w:pPr>
              <w:spacing w:after="200" w:line="276" w:lineRule="auto"/>
              <w:jc w:val="center"/>
              <w:rPr>
                <w:rFonts w:cstheme="minorHAnsi"/>
                <w:b/>
                <w:u w:val="single"/>
              </w:rPr>
            </w:pPr>
            <w:r w:rsidRPr="00FF2170">
              <w:rPr>
                <w:rFonts w:cstheme="minorHAnsi"/>
                <w:b/>
                <w:u w:val="single"/>
              </w:rPr>
              <w:t xml:space="preserve">( Rs </w:t>
            </w:r>
            <w:r w:rsidR="006D2800" w:rsidRPr="00FF2170">
              <w:rPr>
                <w:rFonts w:cstheme="minorHAnsi"/>
                <w:b/>
                <w:u w:val="single"/>
              </w:rPr>
              <w:t>Million</w:t>
            </w:r>
            <w:r w:rsidRPr="00FF2170">
              <w:rPr>
                <w:rFonts w:cstheme="minorHAnsi"/>
                <w:b/>
                <w:u w:val="single"/>
              </w:rPr>
              <w:t>)</w:t>
            </w:r>
          </w:p>
        </w:tc>
      </w:tr>
      <w:tr w:rsidR="00B3102C" w:rsidRPr="00FF2170" w:rsidTr="001F3FB2">
        <w:tc>
          <w:tcPr>
            <w:tcW w:w="0" w:type="auto"/>
          </w:tcPr>
          <w:p w:rsidR="00B3102C" w:rsidRPr="00FF2170" w:rsidRDefault="00B3102C" w:rsidP="00877E7A">
            <w:pPr>
              <w:spacing w:after="200" w:line="276" w:lineRule="auto"/>
              <w:rPr>
                <w:rFonts w:cstheme="minorHAnsi"/>
              </w:rPr>
            </w:pPr>
            <w:r w:rsidRPr="00FF2170">
              <w:rPr>
                <w:rFonts w:cstheme="minorHAnsi"/>
              </w:rPr>
              <w:t>1</w:t>
            </w:r>
          </w:p>
        </w:tc>
        <w:tc>
          <w:tcPr>
            <w:tcW w:w="6057" w:type="dxa"/>
          </w:tcPr>
          <w:p w:rsidR="00B3102C" w:rsidRPr="00FF2170" w:rsidRDefault="00B3102C" w:rsidP="00877E7A">
            <w:pPr>
              <w:spacing w:after="200" w:line="276" w:lineRule="auto"/>
              <w:rPr>
                <w:rFonts w:cstheme="minorHAnsi"/>
              </w:rPr>
            </w:pPr>
            <w:r w:rsidRPr="00FF2170">
              <w:rPr>
                <w:rFonts w:cstheme="minorHAnsi"/>
                <w:bCs/>
              </w:rPr>
              <w:t>Receipts through sale of minority shareholding in CPSEs</w:t>
            </w:r>
          </w:p>
        </w:tc>
        <w:tc>
          <w:tcPr>
            <w:tcW w:w="3078" w:type="dxa"/>
          </w:tcPr>
          <w:p w:rsidR="00B3102C" w:rsidRPr="00FF2170" w:rsidRDefault="00B3102C" w:rsidP="00877E7A">
            <w:pPr>
              <w:spacing w:after="200" w:line="276" w:lineRule="auto"/>
              <w:jc w:val="center"/>
              <w:rPr>
                <w:rFonts w:cstheme="minorHAnsi"/>
              </w:rPr>
            </w:pPr>
            <w:r w:rsidRPr="00FF2170">
              <w:rPr>
                <w:rFonts w:cstheme="minorHAnsi"/>
                <w:bCs/>
              </w:rPr>
              <w:t>821</w:t>
            </w:r>
            <w:r w:rsidR="006D2800" w:rsidRPr="00FF2170">
              <w:rPr>
                <w:rFonts w:cstheme="minorHAnsi"/>
                <w:bCs/>
              </w:rPr>
              <w:t>,</w:t>
            </w:r>
            <w:r w:rsidRPr="00FF2170">
              <w:rPr>
                <w:rFonts w:cstheme="minorHAnsi"/>
                <w:bCs/>
              </w:rPr>
              <w:t>996</w:t>
            </w:r>
            <w:r w:rsidR="006D2800" w:rsidRPr="00FF2170">
              <w:rPr>
                <w:rFonts w:cstheme="minorHAnsi"/>
                <w:bCs/>
              </w:rPr>
              <w:t>.</w:t>
            </w:r>
            <w:r w:rsidRPr="00FF2170">
              <w:rPr>
                <w:rFonts w:cstheme="minorHAnsi"/>
                <w:bCs/>
              </w:rPr>
              <w:t>9</w:t>
            </w:r>
          </w:p>
        </w:tc>
      </w:tr>
      <w:tr w:rsidR="00B3102C" w:rsidRPr="00FF2170" w:rsidTr="001F3FB2">
        <w:tc>
          <w:tcPr>
            <w:tcW w:w="0" w:type="auto"/>
          </w:tcPr>
          <w:p w:rsidR="00B3102C" w:rsidRPr="00FF2170" w:rsidRDefault="00B3102C" w:rsidP="00877E7A">
            <w:pPr>
              <w:spacing w:after="200" w:line="276" w:lineRule="auto"/>
              <w:rPr>
                <w:rFonts w:cstheme="minorHAnsi"/>
              </w:rPr>
            </w:pPr>
            <w:r w:rsidRPr="00FF2170">
              <w:rPr>
                <w:rFonts w:cstheme="minorHAnsi"/>
              </w:rPr>
              <w:t>2</w:t>
            </w:r>
          </w:p>
        </w:tc>
        <w:tc>
          <w:tcPr>
            <w:tcW w:w="6057" w:type="dxa"/>
          </w:tcPr>
          <w:p w:rsidR="00B3102C" w:rsidRPr="00FF2170" w:rsidRDefault="00B3102C" w:rsidP="00877E7A">
            <w:pPr>
              <w:spacing w:after="200" w:line="276" w:lineRule="auto"/>
              <w:rPr>
                <w:rFonts w:cstheme="minorHAnsi"/>
              </w:rPr>
            </w:pPr>
            <w:r w:rsidRPr="00FF2170">
              <w:rPr>
                <w:rFonts w:cstheme="minorHAnsi"/>
                <w:bCs/>
              </w:rPr>
              <w:t>Receipts through sale of majority shareholding of one CPSE to another CPSE</w:t>
            </w:r>
          </w:p>
        </w:tc>
        <w:tc>
          <w:tcPr>
            <w:tcW w:w="3078" w:type="dxa"/>
          </w:tcPr>
          <w:p w:rsidR="00B3102C" w:rsidRPr="00FF2170" w:rsidRDefault="00B3102C" w:rsidP="00877E7A">
            <w:pPr>
              <w:spacing w:after="200" w:line="276" w:lineRule="auto"/>
              <w:jc w:val="center"/>
              <w:rPr>
                <w:rFonts w:cstheme="minorHAnsi"/>
              </w:rPr>
            </w:pPr>
            <w:r w:rsidRPr="00FF2170">
              <w:rPr>
                <w:rFonts w:cstheme="minorHAnsi"/>
                <w:bCs/>
              </w:rPr>
              <w:t>13</w:t>
            </w:r>
            <w:r w:rsidR="006D2800" w:rsidRPr="00FF2170">
              <w:rPr>
                <w:rFonts w:cstheme="minorHAnsi"/>
                <w:bCs/>
              </w:rPr>
              <w:t>,</w:t>
            </w:r>
            <w:r w:rsidRPr="00FF2170">
              <w:rPr>
                <w:rFonts w:cstheme="minorHAnsi"/>
                <w:bCs/>
              </w:rPr>
              <w:t>172</w:t>
            </w:r>
            <w:r w:rsidR="006D2800" w:rsidRPr="00FF2170">
              <w:rPr>
                <w:rFonts w:cstheme="minorHAnsi"/>
                <w:bCs/>
              </w:rPr>
              <w:t>.</w:t>
            </w:r>
            <w:r w:rsidRPr="00FF2170">
              <w:rPr>
                <w:rFonts w:cstheme="minorHAnsi"/>
                <w:bCs/>
              </w:rPr>
              <w:t>3</w:t>
            </w:r>
          </w:p>
        </w:tc>
      </w:tr>
      <w:tr w:rsidR="00B3102C" w:rsidRPr="00FF2170" w:rsidTr="001F3FB2">
        <w:tc>
          <w:tcPr>
            <w:tcW w:w="0" w:type="auto"/>
          </w:tcPr>
          <w:p w:rsidR="00B3102C" w:rsidRPr="00FF2170" w:rsidRDefault="00B3102C" w:rsidP="00877E7A">
            <w:pPr>
              <w:spacing w:after="200" w:line="276" w:lineRule="auto"/>
              <w:rPr>
                <w:rFonts w:cstheme="minorHAnsi"/>
              </w:rPr>
            </w:pPr>
            <w:r w:rsidRPr="00FF2170">
              <w:rPr>
                <w:rFonts w:cstheme="minorHAnsi"/>
              </w:rPr>
              <w:t>3</w:t>
            </w:r>
          </w:p>
        </w:tc>
        <w:tc>
          <w:tcPr>
            <w:tcW w:w="6057" w:type="dxa"/>
          </w:tcPr>
          <w:p w:rsidR="00B3102C" w:rsidRPr="00FF2170" w:rsidRDefault="00B3102C" w:rsidP="00877E7A">
            <w:pPr>
              <w:spacing w:after="200" w:line="276" w:lineRule="auto"/>
              <w:rPr>
                <w:rFonts w:cstheme="minorHAnsi"/>
              </w:rPr>
            </w:pPr>
            <w:r w:rsidRPr="00FF2170">
              <w:rPr>
                <w:rFonts w:cstheme="minorHAnsi"/>
                <w:bCs/>
              </w:rPr>
              <w:t>Receipts through Strategic sale</w:t>
            </w:r>
          </w:p>
        </w:tc>
        <w:tc>
          <w:tcPr>
            <w:tcW w:w="3078" w:type="dxa"/>
          </w:tcPr>
          <w:p w:rsidR="00B3102C" w:rsidRPr="00FF2170" w:rsidRDefault="00B3102C" w:rsidP="00877E7A">
            <w:pPr>
              <w:spacing w:after="200" w:line="276" w:lineRule="auto"/>
              <w:jc w:val="center"/>
              <w:rPr>
                <w:rFonts w:cstheme="minorHAnsi"/>
              </w:rPr>
            </w:pPr>
            <w:r w:rsidRPr="00FF2170">
              <w:rPr>
                <w:rFonts w:cstheme="minorHAnsi"/>
                <w:bCs/>
              </w:rPr>
              <w:t>63</w:t>
            </w:r>
            <w:r w:rsidR="006D2800" w:rsidRPr="00FF2170">
              <w:rPr>
                <w:rFonts w:cstheme="minorHAnsi"/>
                <w:bCs/>
              </w:rPr>
              <w:t>,</w:t>
            </w:r>
            <w:r w:rsidRPr="00FF2170">
              <w:rPr>
                <w:rFonts w:cstheme="minorHAnsi"/>
                <w:bCs/>
              </w:rPr>
              <w:t>443</w:t>
            </w:r>
            <w:r w:rsidR="006D2800" w:rsidRPr="00FF2170">
              <w:rPr>
                <w:rFonts w:cstheme="minorHAnsi"/>
                <w:bCs/>
              </w:rPr>
              <w:t>.</w:t>
            </w:r>
            <w:r w:rsidRPr="00FF2170">
              <w:rPr>
                <w:rFonts w:cstheme="minorHAnsi"/>
                <w:bCs/>
              </w:rPr>
              <w:t>5</w:t>
            </w:r>
          </w:p>
        </w:tc>
      </w:tr>
      <w:tr w:rsidR="00B3102C" w:rsidRPr="00FF2170" w:rsidTr="001F3FB2">
        <w:tc>
          <w:tcPr>
            <w:tcW w:w="0" w:type="auto"/>
          </w:tcPr>
          <w:p w:rsidR="00B3102C" w:rsidRPr="00FF2170" w:rsidRDefault="00B3102C" w:rsidP="00877E7A">
            <w:pPr>
              <w:spacing w:after="200" w:line="276" w:lineRule="auto"/>
              <w:rPr>
                <w:rFonts w:cstheme="minorHAnsi"/>
              </w:rPr>
            </w:pPr>
            <w:r w:rsidRPr="00FF2170">
              <w:rPr>
                <w:rFonts w:cstheme="minorHAnsi"/>
              </w:rPr>
              <w:t>4</w:t>
            </w:r>
          </w:p>
        </w:tc>
        <w:tc>
          <w:tcPr>
            <w:tcW w:w="6057" w:type="dxa"/>
          </w:tcPr>
          <w:p w:rsidR="00B3102C" w:rsidRPr="00FF2170" w:rsidRDefault="00B3102C" w:rsidP="00877E7A">
            <w:pPr>
              <w:spacing w:after="200" w:line="276" w:lineRule="auto"/>
              <w:rPr>
                <w:rFonts w:cstheme="minorHAnsi"/>
              </w:rPr>
            </w:pPr>
            <w:r w:rsidRPr="00FF2170">
              <w:rPr>
                <w:rFonts w:cstheme="minorHAnsi"/>
                <w:bCs/>
              </w:rPr>
              <w:t>Receipts from other related transactions</w:t>
            </w:r>
          </w:p>
        </w:tc>
        <w:tc>
          <w:tcPr>
            <w:tcW w:w="3078" w:type="dxa"/>
          </w:tcPr>
          <w:p w:rsidR="00B3102C" w:rsidRPr="00FF2170" w:rsidRDefault="00B3102C" w:rsidP="00877E7A">
            <w:pPr>
              <w:spacing w:after="200" w:line="276" w:lineRule="auto"/>
              <w:jc w:val="center"/>
              <w:rPr>
                <w:rFonts w:cstheme="minorHAnsi"/>
              </w:rPr>
            </w:pPr>
            <w:r w:rsidRPr="00FF2170">
              <w:rPr>
                <w:rFonts w:cstheme="minorHAnsi"/>
                <w:bCs/>
                <w:color w:val="000000"/>
                <w:bdr w:val="none" w:sz="0" w:space="0" w:color="auto" w:frame="1"/>
                <w:shd w:val="clear" w:color="auto" w:fill="FFFFFF"/>
              </w:rPr>
              <w:t>40</w:t>
            </w:r>
            <w:r w:rsidR="006D2800" w:rsidRPr="00FF2170">
              <w:rPr>
                <w:rFonts w:cstheme="minorHAnsi"/>
                <w:bCs/>
                <w:color w:val="000000"/>
                <w:bdr w:val="none" w:sz="0" w:space="0" w:color="auto" w:frame="1"/>
                <w:shd w:val="clear" w:color="auto" w:fill="FFFFFF"/>
              </w:rPr>
              <w:t>,</w:t>
            </w:r>
            <w:r w:rsidRPr="00FF2170">
              <w:rPr>
                <w:rFonts w:cstheme="minorHAnsi"/>
                <w:bCs/>
                <w:color w:val="000000"/>
                <w:bdr w:val="none" w:sz="0" w:space="0" w:color="auto" w:frame="1"/>
                <w:shd w:val="clear" w:color="auto" w:fill="FFFFFF"/>
              </w:rPr>
              <w:t>051</w:t>
            </w:r>
            <w:r w:rsidR="006D2800" w:rsidRPr="00FF2170">
              <w:rPr>
                <w:rFonts w:cstheme="minorHAnsi"/>
                <w:bCs/>
                <w:color w:val="000000"/>
                <w:bdr w:val="none" w:sz="0" w:space="0" w:color="auto" w:frame="1"/>
                <w:shd w:val="clear" w:color="auto" w:fill="FFFFFF"/>
              </w:rPr>
              <w:t>.</w:t>
            </w:r>
            <w:r w:rsidRPr="00FF2170">
              <w:rPr>
                <w:rFonts w:cstheme="minorHAnsi"/>
                <w:bCs/>
                <w:color w:val="000000"/>
                <w:bdr w:val="none" w:sz="0" w:space="0" w:color="auto" w:frame="1"/>
                <w:shd w:val="clear" w:color="auto" w:fill="FFFFFF"/>
              </w:rPr>
              <w:t>7</w:t>
            </w:r>
          </w:p>
        </w:tc>
      </w:tr>
      <w:tr w:rsidR="00B3102C" w:rsidRPr="00FF2170" w:rsidTr="001F3FB2">
        <w:tc>
          <w:tcPr>
            <w:tcW w:w="0" w:type="auto"/>
          </w:tcPr>
          <w:p w:rsidR="00B3102C" w:rsidRPr="00FF2170" w:rsidRDefault="00B3102C" w:rsidP="00877E7A">
            <w:pPr>
              <w:spacing w:after="200" w:line="276" w:lineRule="auto"/>
              <w:rPr>
                <w:rFonts w:cstheme="minorHAnsi"/>
              </w:rPr>
            </w:pPr>
            <w:r w:rsidRPr="00FF2170">
              <w:rPr>
                <w:rFonts w:cstheme="minorHAnsi"/>
              </w:rPr>
              <w:t>5</w:t>
            </w:r>
          </w:p>
        </w:tc>
        <w:tc>
          <w:tcPr>
            <w:tcW w:w="6057" w:type="dxa"/>
          </w:tcPr>
          <w:p w:rsidR="00B3102C" w:rsidRPr="00FF2170" w:rsidRDefault="00B3102C" w:rsidP="00877E7A">
            <w:pPr>
              <w:spacing w:after="200" w:line="276" w:lineRule="auto"/>
              <w:rPr>
                <w:rFonts w:cstheme="minorHAnsi"/>
              </w:rPr>
            </w:pPr>
            <w:r w:rsidRPr="00FF2170">
              <w:rPr>
                <w:rFonts w:cstheme="minorHAnsi"/>
                <w:bCs/>
              </w:rPr>
              <w:t>Receipts from sale of residual shareholding in disinvested CPSEs /companies</w:t>
            </w:r>
          </w:p>
        </w:tc>
        <w:tc>
          <w:tcPr>
            <w:tcW w:w="3078" w:type="dxa"/>
          </w:tcPr>
          <w:p w:rsidR="00B3102C" w:rsidRPr="00FF2170" w:rsidRDefault="00B3102C" w:rsidP="00877E7A">
            <w:pPr>
              <w:spacing w:after="200" w:line="276" w:lineRule="auto"/>
              <w:jc w:val="center"/>
              <w:rPr>
                <w:rFonts w:cstheme="minorHAnsi"/>
              </w:rPr>
            </w:pPr>
            <w:r w:rsidRPr="00FF2170">
              <w:rPr>
                <w:rFonts w:cstheme="minorHAnsi"/>
                <w:bCs/>
              </w:rPr>
              <w:t>63</w:t>
            </w:r>
            <w:r w:rsidR="006D2800" w:rsidRPr="00FF2170">
              <w:rPr>
                <w:rFonts w:cstheme="minorHAnsi"/>
                <w:bCs/>
              </w:rPr>
              <w:t>,</w:t>
            </w:r>
            <w:r w:rsidRPr="00FF2170">
              <w:rPr>
                <w:rFonts w:cstheme="minorHAnsi"/>
                <w:bCs/>
              </w:rPr>
              <w:t>982</w:t>
            </w:r>
            <w:r w:rsidR="006D2800" w:rsidRPr="00FF2170">
              <w:rPr>
                <w:rFonts w:cstheme="minorHAnsi"/>
                <w:bCs/>
              </w:rPr>
              <w:t>.</w:t>
            </w:r>
            <w:r w:rsidRPr="00FF2170">
              <w:rPr>
                <w:rFonts w:cstheme="minorHAnsi"/>
                <w:bCs/>
              </w:rPr>
              <w:t>7</w:t>
            </w:r>
          </w:p>
        </w:tc>
      </w:tr>
      <w:tr w:rsidR="00B3102C" w:rsidRPr="00FF2170" w:rsidTr="001F3FB2">
        <w:tc>
          <w:tcPr>
            <w:tcW w:w="0" w:type="auto"/>
          </w:tcPr>
          <w:p w:rsidR="00B3102C" w:rsidRPr="00FF2170" w:rsidRDefault="00B3102C" w:rsidP="00877E7A">
            <w:pPr>
              <w:spacing w:after="200" w:line="276" w:lineRule="auto"/>
              <w:rPr>
                <w:rFonts w:cstheme="minorHAnsi"/>
              </w:rPr>
            </w:pPr>
            <w:r w:rsidRPr="00FF2170">
              <w:rPr>
                <w:rFonts w:cstheme="minorHAnsi"/>
              </w:rPr>
              <w:t>6</w:t>
            </w:r>
          </w:p>
        </w:tc>
        <w:tc>
          <w:tcPr>
            <w:tcW w:w="6057" w:type="dxa"/>
          </w:tcPr>
          <w:p w:rsidR="00B3102C" w:rsidRPr="00FF2170" w:rsidRDefault="00B3102C" w:rsidP="00877E7A">
            <w:pPr>
              <w:spacing w:after="200" w:line="276" w:lineRule="auto"/>
              <w:rPr>
                <w:rFonts w:cstheme="minorHAnsi"/>
              </w:rPr>
            </w:pPr>
            <w:r w:rsidRPr="00FF2170">
              <w:rPr>
                <w:rFonts w:cstheme="minorHAnsi"/>
                <w:bCs/>
              </w:rPr>
              <w:t>Total receipts</w:t>
            </w:r>
          </w:p>
        </w:tc>
        <w:tc>
          <w:tcPr>
            <w:tcW w:w="3078" w:type="dxa"/>
          </w:tcPr>
          <w:p w:rsidR="00B3102C" w:rsidRPr="00FF2170" w:rsidRDefault="00B3102C" w:rsidP="00877E7A">
            <w:pPr>
              <w:spacing w:after="200" w:line="276" w:lineRule="auto"/>
              <w:jc w:val="center"/>
              <w:rPr>
                <w:rFonts w:cstheme="minorHAnsi"/>
              </w:rPr>
            </w:pPr>
            <w:r w:rsidRPr="00FF2170">
              <w:rPr>
                <w:rFonts w:cstheme="minorHAnsi"/>
                <w:bCs/>
                <w:color w:val="000000"/>
                <w:bdr w:val="none" w:sz="0" w:space="0" w:color="auto" w:frame="1"/>
                <w:shd w:val="clear" w:color="auto" w:fill="FFFFFF"/>
              </w:rPr>
              <w:t>1002</w:t>
            </w:r>
            <w:r w:rsidR="006D2800" w:rsidRPr="00FF2170">
              <w:rPr>
                <w:rFonts w:cstheme="minorHAnsi"/>
                <w:bCs/>
                <w:color w:val="000000"/>
                <w:bdr w:val="none" w:sz="0" w:space="0" w:color="auto" w:frame="1"/>
                <w:shd w:val="clear" w:color="auto" w:fill="FFFFFF"/>
              </w:rPr>
              <w:t>,</w:t>
            </w:r>
            <w:r w:rsidRPr="00FF2170">
              <w:rPr>
                <w:rFonts w:cstheme="minorHAnsi"/>
                <w:bCs/>
                <w:color w:val="000000"/>
                <w:bdr w:val="none" w:sz="0" w:space="0" w:color="auto" w:frame="1"/>
                <w:shd w:val="clear" w:color="auto" w:fill="FFFFFF"/>
              </w:rPr>
              <w:t>647</w:t>
            </w:r>
            <w:r w:rsidR="006D2800" w:rsidRPr="00FF2170">
              <w:rPr>
                <w:rFonts w:cstheme="minorHAnsi"/>
                <w:bCs/>
                <w:color w:val="000000"/>
                <w:bdr w:val="none" w:sz="0" w:space="0" w:color="auto" w:frame="1"/>
                <w:shd w:val="clear" w:color="auto" w:fill="FFFFFF"/>
              </w:rPr>
              <w:t>.</w:t>
            </w:r>
            <w:r w:rsidRPr="00FF2170">
              <w:rPr>
                <w:rFonts w:cstheme="minorHAnsi"/>
                <w:bCs/>
                <w:color w:val="000000"/>
                <w:bdr w:val="none" w:sz="0" w:space="0" w:color="auto" w:frame="1"/>
                <w:shd w:val="clear" w:color="auto" w:fill="FFFFFF"/>
              </w:rPr>
              <w:t>1</w:t>
            </w:r>
          </w:p>
        </w:tc>
      </w:tr>
    </w:tbl>
    <w:p w:rsidR="00B3102C" w:rsidRPr="00FF2170" w:rsidRDefault="00B3102C" w:rsidP="00877E7A">
      <w:pPr>
        <w:rPr>
          <w:rFonts w:eastAsiaTheme="minorHAnsi" w:cstheme="minorHAnsi"/>
          <w:color w:val="000000"/>
          <w:lang w:val="en-US" w:eastAsia="en-US"/>
        </w:rPr>
      </w:pPr>
    </w:p>
    <w:p w:rsidR="00B3102C" w:rsidRPr="00FF2170" w:rsidRDefault="00B3102C" w:rsidP="001F3FB2">
      <w:pPr>
        <w:spacing w:line="720" w:lineRule="auto"/>
        <w:rPr>
          <w:rFonts w:eastAsiaTheme="minorHAnsi" w:cstheme="minorHAnsi"/>
          <w:color w:val="000000"/>
          <w:lang w:val="en-US" w:eastAsia="en-US"/>
        </w:rPr>
      </w:pPr>
      <w:r w:rsidRPr="00FF2170">
        <w:rPr>
          <w:rFonts w:cstheme="minorHAnsi"/>
        </w:rPr>
        <w:t xml:space="preserve">*Source: </w:t>
      </w:r>
      <w:hyperlink r:id="rId10" w:history="1">
        <w:r w:rsidRPr="00FF2170">
          <w:rPr>
            <w:rStyle w:val="Hyperlink"/>
            <w:rFonts w:cstheme="minorHAnsi"/>
          </w:rPr>
          <w:t>http://www.divest.nic.in/SummarySale.asp</w:t>
        </w:r>
      </w:hyperlink>
    </w:p>
    <w:p w:rsidR="00B3102C" w:rsidRDefault="00B3102C" w:rsidP="00877E7A">
      <w:pPr>
        <w:rPr>
          <w:rFonts w:eastAsiaTheme="minorHAnsi" w:cstheme="minorHAnsi"/>
          <w:color w:val="000000"/>
          <w:lang w:val="en-US" w:eastAsia="en-US"/>
        </w:rPr>
      </w:pPr>
      <w:r w:rsidRPr="00FF2170">
        <w:rPr>
          <w:rFonts w:eastAsiaTheme="minorHAnsi" w:cstheme="minorHAnsi"/>
          <w:color w:val="000000"/>
          <w:lang w:val="en-US" w:eastAsia="en-US"/>
        </w:rPr>
        <w:t xml:space="preserve">In the </w:t>
      </w:r>
      <w:r w:rsidR="00BD5BF2" w:rsidRPr="00FF2170">
        <w:rPr>
          <w:rFonts w:eastAsiaTheme="minorHAnsi" w:cstheme="minorHAnsi"/>
          <w:color w:val="000000"/>
          <w:lang w:val="en-US" w:eastAsia="en-US"/>
        </w:rPr>
        <w:t>1991-1999</w:t>
      </w:r>
      <w:r w:rsidRPr="00FF2170">
        <w:rPr>
          <w:rFonts w:eastAsiaTheme="minorHAnsi" w:cstheme="minorHAnsi"/>
          <w:color w:val="000000"/>
          <w:lang w:val="en-US" w:eastAsia="en-US"/>
        </w:rPr>
        <w:t xml:space="preserve"> decade, governments worldwide have raised over US$1 trillion from the sale of state- owned enterprises (SOEs)</w:t>
      </w:r>
      <w:r w:rsidR="00AE7670" w:rsidRPr="00FF2170">
        <w:rPr>
          <w:rStyle w:val="FootnoteReference"/>
          <w:rFonts w:eastAsiaTheme="minorHAnsi" w:cstheme="minorHAnsi"/>
          <w:color w:val="000000"/>
          <w:lang w:val="en-US" w:eastAsia="en-US"/>
        </w:rPr>
        <w:footnoteReference w:id="25"/>
      </w:r>
      <w:r w:rsidRPr="00FF2170">
        <w:rPr>
          <w:rFonts w:eastAsiaTheme="minorHAnsi" w:cstheme="minorHAnsi"/>
          <w:color w:val="000000"/>
          <w:lang w:val="en-US" w:eastAsia="en-US"/>
        </w:rPr>
        <w:t xml:space="preserve"> . However, the South Asian economies of Bangladesh, India, Pakistan, and Sri Lanka have been slow to divest from government- owned fi</w:t>
      </w:r>
      <w:r w:rsidR="00F6465B" w:rsidRPr="00FF2170">
        <w:rPr>
          <w:rFonts w:eastAsiaTheme="minorHAnsi" w:cstheme="minorHAnsi"/>
          <w:color w:val="000000"/>
          <w:lang w:val="en-US" w:eastAsia="en-US"/>
        </w:rPr>
        <w:t>rm</w:t>
      </w:r>
      <w:r w:rsidRPr="00FF2170">
        <w:rPr>
          <w:rFonts w:eastAsiaTheme="minorHAnsi" w:cstheme="minorHAnsi"/>
          <w:color w:val="000000"/>
          <w:lang w:val="en-US" w:eastAsia="en-US"/>
        </w:rPr>
        <w:t>s</w:t>
      </w:r>
      <w:r w:rsidR="00AE7670" w:rsidRPr="00FF2170">
        <w:rPr>
          <w:rFonts w:eastAsiaTheme="minorHAnsi" w:cstheme="minorHAnsi"/>
          <w:color w:val="000000"/>
          <w:lang w:val="en-US" w:eastAsia="en-US"/>
        </w:rPr>
        <w:t xml:space="preserve"> and r</w:t>
      </w:r>
      <w:r w:rsidRPr="00FF2170">
        <w:rPr>
          <w:rFonts w:eastAsiaTheme="minorHAnsi" w:cstheme="minorHAnsi"/>
          <w:color w:val="000000"/>
          <w:lang w:val="en-US" w:eastAsia="en-US"/>
        </w:rPr>
        <w:t>evenues raised from privatization between 1991 and 1999 totaled just US$11.9 billion in South Asia</w:t>
      </w:r>
      <w:r w:rsidR="00F6465B" w:rsidRPr="00FF2170">
        <w:rPr>
          <w:rFonts w:eastAsiaTheme="minorHAnsi" w:cstheme="minorHAnsi"/>
          <w:color w:val="000000"/>
          <w:lang w:val="en-US" w:eastAsia="en-US"/>
        </w:rPr>
        <w:t xml:space="preserve"> whereas, i</w:t>
      </w:r>
      <w:r w:rsidRPr="00FF2170">
        <w:rPr>
          <w:rFonts w:eastAsiaTheme="minorHAnsi" w:cstheme="minorHAnsi"/>
          <w:color w:val="000000"/>
          <w:lang w:val="en-US" w:eastAsia="en-US"/>
        </w:rPr>
        <w:t>n contrast, Latin America raised over US$177 billion over the same period</w:t>
      </w:r>
      <w:r w:rsidR="00F6465B" w:rsidRPr="00FF2170">
        <w:rPr>
          <w:rStyle w:val="FootnoteReference"/>
          <w:rFonts w:eastAsiaTheme="minorHAnsi" w:cstheme="minorHAnsi"/>
          <w:color w:val="000000"/>
          <w:lang w:val="en-US" w:eastAsia="en-US"/>
        </w:rPr>
        <w:footnoteReference w:id="26"/>
      </w:r>
      <w:r w:rsidRPr="00FF2170">
        <w:rPr>
          <w:rFonts w:eastAsiaTheme="minorHAnsi" w:cstheme="minorHAnsi"/>
          <w:color w:val="000000"/>
          <w:lang w:val="en-US" w:eastAsia="en-US"/>
        </w:rPr>
        <w:t>.</w:t>
      </w:r>
    </w:p>
    <w:p w:rsidR="00FE3831" w:rsidRDefault="00FE3831" w:rsidP="00877E7A">
      <w:pPr>
        <w:rPr>
          <w:rFonts w:eastAsiaTheme="minorHAnsi" w:cstheme="minorHAnsi"/>
          <w:color w:val="000000"/>
          <w:lang w:val="en-US" w:eastAsia="en-US"/>
        </w:rPr>
      </w:pPr>
    </w:p>
    <w:p w:rsidR="00FE3831" w:rsidRPr="00FF2170" w:rsidRDefault="00FE3831" w:rsidP="00877E7A">
      <w:pPr>
        <w:rPr>
          <w:rFonts w:eastAsiaTheme="minorHAnsi" w:cstheme="minorHAnsi"/>
          <w:color w:val="000000"/>
          <w:lang w:val="en-US" w:eastAsia="en-US"/>
        </w:rPr>
      </w:pPr>
    </w:p>
    <w:p w:rsidR="00685316" w:rsidRPr="009F5CC3" w:rsidRDefault="00440098" w:rsidP="009F5CC3">
      <w:pPr>
        <w:pStyle w:val="ListParagraph"/>
        <w:numPr>
          <w:ilvl w:val="0"/>
          <w:numId w:val="18"/>
        </w:numPr>
        <w:rPr>
          <w:b/>
          <w:sz w:val="32"/>
          <w:szCs w:val="32"/>
          <w:u w:val="single"/>
        </w:rPr>
      </w:pPr>
      <w:r>
        <w:rPr>
          <w:b/>
          <w:sz w:val="32"/>
          <w:szCs w:val="32"/>
          <w:u w:val="single"/>
        </w:rPr>
        <w:lastRenderedPageBreak/>
        <w:t xml:space="preserve">Minority Shareholder Rights in SOEs. </w:t>
      </w:r>
      <w:r w:rsidR="00685316" w:rsidRPr="009F5CC3">
        <w:rPr>
          <w:b/>
          <w:sz w:val="32"/>
          <w:szCs w:val="32"/>
          <w:u w:val="single"/>
        </w:rPr>
        <w:t xml:space="preserve">  </w:t>
      </w:r>
    </w:p>
    <w:p w:rsidR="00231839" w:rsidRPr="000124D1" w:rsidRDefault="001C232B" w:rsidP="00877E7A">
      <w:pPr>
        <w:autoSpaceDE w:val="0"/>
        <w:autoSpaceDN w:val="0"/>
        <w:adjustRightInd w:val="0"/>
        <w:rPr>
          <w:rFonts w:eastAsiaTheme="minorHAnsi" w:cstheme="minorHAnsi"/>
          <w:lang w:val="en-US" w:eastAsia="en-US"/>
        </w:rPr>
      </w:pPr>
      <w:r>
        <w:rPr>
          <w:rFonts w:eastAsiaTheme="minorHAnsi" w:cstheme="minorHAnsi"/>
          <w:lang w:val="en-US" w:eastAsia="en-US"/>
        </w:rPr>
        <w:t>E</w:t>
      </w:r>
      <w:r w:rsidR="001A658E" w:rsidRPr="000124D1">
        <w:rPr>
          <w:rFonts w:eastAsiaTheme="minorHAnsi" w:cstheme="minorHAnsi"/>
          <w:lang w:val="en-US" w:eastAsia="en-US"/>
        </w:rPr>
        <w:t>quitable treatment of all shareholders is</w:t>
      </w:r>
      <w:r w:rsidR="00310C55">
        <w:rPr>
          <w:rFonts w:eastAsiaTheme="minorHAnsi" w:cstheme="minorHAnsi"/>
          <w:lang w:val="en-US" w:eastAsia="en-US"/>
        </w:rPr>
        <w:t xml:space="preserve"> one o</w:t>
      </w:r>
      <w:r w:rsidR="001A658E" w:rsidRPr="000124D1">
        <w:rPr>
          <w:rFonts w:eastAsiaTheme="minorHAnsi" w:cstheme="minorHAnsi"/>
          <w:lang w:val="en-US" w:eastAsia="en-US"/>
        </w:rPr>
        <w:t>f the six principles of good governance pr</w:t>
      </w:r>
      <w:r w:rsidR="00231839" w:rsidRPr="000124D1">
        <w:rPr>
          <w:rFonts w:eastAsiaTheme="minorHAnsi" w:cstheme="minorHAnsi"/>
          <w:lang w:val="en-US" w:eastAsia="en-US"/>
        </w:rPr>
        <w:t xml:space="preserve">escribed </w:t>
      </w:r>
      <w:r w:rsidR="001D0092" w:rsidRPr="000124D1">
        <w:rPr>
          <w:rFonts w:eastAsiaTheme="minorHAnsi" w:cstheme="minorHAnsi"/>
          <w:lang w:val="en-US" w:eastAsia="en-US"/>
        </w:rPr>
        <w:t xml:space="preserve">by </w:t>
      </w:r>
      <w:r w:rsidR="001D0092">
        <w:rPr>
          <w:rFonts w:eastAsiaTheme="minorHAnsi" w:cstheme="minorHAnsi"/>
          <w:lang w:val="en-US" w:eastAsia="en-US"/>
        </w:rPr>
        <w:t>the</w:t>
      </w:r>
      <w:r w:rsidR="00F321EF">
        <w:rPr>
          <w:rFonts w:eastAsiaTheme="minorHAnsi" w:cstheme="minorHAnsi"/>
          <w:lang w:val="en-US" w:eastAsia="en-US"/>
        </w:rPr>
        <w:t xml:space="preserve"> Organization for Economic Co-operation &amp; Development (</w:t>
      </w:r>
      <w:r w:rsidR="00231839" w:rsidRPr="000124D1">
        <w:rPr>
          <w:rFonts w:eastAsiaTheme="minorHAnsi" w:cstheme="minorHAnsi"/>
          <w:lang w:val="en-US" w:eastAsia="en-US"/>
        </w:rPr>
        <w:t>OECD</w:t>
      </w:r>
      <w:r w:rsidR="00F321EF">
        <w:rPr>
          <w:rFonts w:eastAsiaTheme="minorHAnsi" w:cstheme="minorHAnsi"/>
          <w:lang w:val="en-US" w:eastAsia="en-US"/>
        </w:rPr>
        <w:t>)</w:t>
      </w:r>
      <w:r w:rsidR="00231839" w:rsidRPr="000124D1">
        <w:rPr>
          <w:rStyle w:val="FootnoteReference"/>
          <w:rFonts w:eastAsiaTheme="minorHAnsi" w:cstheme="minorHAnsi"/>
          <w:lang w:val="en-US" w:eastAsia="en-US"/>
        </w:rPr>
        <w:footnoteReference w:id="27"/>
      </w:r>
      <w:r w:rsidR="00F321EF">
        <w:rPr>
          <w:rFonts w:eastAsiaTheme="minorHAnsi" w:cstheme="minorHAnsi"/>
          <w:lang w:val="en-US" w:eastAsia="en-US"/>
        </w:rPr>
        <w:t xml:space="preserve"> </w:t>
      </w:r>
      <w:r>
        <w:rPr>
          <w:rFonts w:eastAsiaTheme="minorHAnsi" w:cstheme="minorHAnsi"/>
          <w:lang w:val="en-US" w:eastAsia="en-US"/>
        </w:rPr>
        <w:t xml:space="preserve">. This principle </w:t>
      </w:r>
      <w:r w:rsidR="00F321EF" w:rsidRPr="000124D1">
        <w:rPr>
          <w:rFonts w:eastAsiaTheme="minorHAnsi" w:cstheme="minorHAnsi"/>
          <w:lang w:val="en-US" w:eastAsia="en-US"/>
        </w:rPr>
        <w:t>seeks</w:t>
      </w:r>
      <w:r w:rsidR="00231839" w:rsidRPr="000124D1">
        <w:rPr>
          <w:rFonts w:eastAsiaTheme="minorHAnsi" w:cstheme="minorHAnsi"/>
          <w:lang w:val="en-US" w:eastAsia="en-US"/>
        </w:rPr>
        <w:t xml:space="preserve"> </w:t>
      </w:r>
      <w:r w:rsidR="001A658E" w:rsidRPr="000124D1">
        <w:rPr>
          <w:rFonts w:eastAsiaTheme="minorHAnsi" w:cstheme="minorHAnsi"/>
          <w:lang w:val="en-US" w:eastAsia="en-US"/>
        </w:rPr>
        <w:t>to protect</w:t>
      </w:r>
      <w:r w:rsidR="00231839" w:rsidRPr="000124D1">
        <w:rPr>
          <w:rFonts w:eastAsiaTheme="minorHAnsi" w:cstheme="minorHAnsi"/>
          <w:lang w:val="en-US" w:eastAsia="en-US"/>
        </w:rPr>
        <w:t xml:space="preserve"> the non</w:t>
      </w:r>
      <w:r w:rsidR="001A658E" w:rsidRPr="000124D1">
        <w:rPr>
          <w:rFonts w:eastAsiaTheme="minorHAnsi" w:cstheme="minorHAnsi"/>
          <w:lang w:val="en-US" w:eastAsia="en-US"/>
        </w:rPr>
        <w:t>-controlling shareholders from potential abuse such as manipulation by boards, managers and controlling shareholders</w:t>
      </w:r>
      <w:r w:rsidR="00231839" w:rsidRPr="000124D1">
        <w:rPr>
          <w:rFonts w:eastAsiaTheme="minorHAnsi" w:cstheme="minorHAnsi"/>
          <w:lang w:val="en-US" w:eastAsia="en-US"/>
        </w:rPr>
        <w:t xml:space="preserve"> and thereby preserve the integrity of the capital markets. The confidence of the investors that their invested capital would be protected from misappropriation by managers, board members </w:t>
      </w:r>
      <w:r w:rsidR="000124D1" w:rsidRPr="000124D1">
        <w:rPr>
          <w:rFonts w:eastAsiaTheme="minorHAnsi" w:cstheme="minorHAnsi"/>
          <w:lang w:val="en-US" w:eastAsia="en-US"/>
        </w:rPr>
        <w:t>and controlling</w:t>
      </w:r>
      <w:r w:rsidR="00231839" w:rsidRPr="000124D1">
        <w:rPr>
          <w:rFonts w:eastAsiaTheme="minorHAnsi" w:cstheme="minorHAnsi"/>
          <w:lang w:val="en-US" w:eastAsia="en-US"/>
        </w:rPr>
        <w:t xml:space="preserve"> shareholders is an important factor in the development of capital markets as such </w:t>
      </w:r>
      <w:r w:rsidR="000124D1" w:rsidRPr="000124D1">
        <w:rPr>
          <w:rFonts w:eastAsiaTheme="minorHAnsi" w:cstheme="minorHAnsi"/>
          <w:lang w:val="en-US" w:eastAsia="en-US"/>
        </w:rPr>
        <w:t>confidence will</w:t>
      </w:r>
      <w:r w:rsidR="00231839" w:rsidRPr="000124D1">
        <w:rPr>
          <w:rFonts w:eastAsiaTheme="minorHAnsi" w:cstheme="minorHAnsi"/>
          <w:lang w:val="en-US" w:eastAsia="en-US"/>
        </w:rPr>
        <w:t xml:space="preserve"> reduce the risk premium that investors will demand for making an investment</w:t>
      </w:r>
      <w:r w:rsidR="00FE3831">
        <w:rPr>
          <w:rFonts w:eastAsiaTheme="minorHAnsi" w:cstheme="minorHAnsi"/>
          <w:lang w:val="en-US" w:eastAsia="en-US"/>
        </w:rPr>
        <w:t xml:space="preserve"> and</w:t>
      </w:r>
      <w:r w:rsidR="00231839" w:rsidRPr="000124D1">
        <w:rPr>
          <w:rFonts w:eastAsiaTheme="minorHAnsi" w:cstheme="minorHAnsi"/>
          <w:lang w:val="en-US" w:eastAsia="en-US"/>
        </w:rPr>
        <w:t xml:space="preserve"> this in turn will lower capital costs </w:t>
      </w:r>
      <w:r w:rsidR="000124D1" w:rsidRPr="000124D1">
        <w:rPr>
          <w:rFonts w:eastAsiaTheme="minorHAnsi" w:cstheme="minorHAnsi"/>
          <w:lang w:val="en-US" w:eastAsia="en-US"/>
        </w:rPr>
        <w:t>and raise</w:t>
      </w:r>
      <w:r w:rsidR="00231839" w:rsidRPr="000124D1">
        <w:rPr>
          <w:rFonts w:eastAsiaTheme="minorHAnsi" w:cstheme="minorHAnsi"/>
          <w:lang w:val="en-US" w:eastAsia="en-US"/>
        </w:rPr>
        <w:t xml:space="preserve"> the value of equity </w:t>
      </w:r>
    </w:p>
    <w:p w:rsidR="000124D1" w:rsidRPr="000124D1" w:rsidRDefault="00231839" w:rsidP="00877E7A">
      <w:pPr>
        <w:autoSpaceDE w:val="0"/>
        <w:autoSpaceDN w:val="0"/>
        <w:adjustRightInd w:val="0"/>
        <w:rPr>
          <w:rFonts w:eastAsiaTheme="minorHAnsi" w:cstheme="minorHAnsi"/>
          <w:lang w:val="en-US" w:eastAsia="en-US"/>
        </w:rPr>
      </w:pPr>
      <w:r w:rsidRPr="000124D1">
        <w:rPr>
          <w:rFonts w:eastAsiaTheme="minorHAnsi" w:cstheme="minorHAnsi"/>
          <w:lang w:val="en-US" w:eastAsia="en-US"/>
        </w:rPr>
        <w:t>The annotation</w:t>
      </w:r>
      <w:r w:rsidR="00310C55">
        <w:rPr>
          <w:rFonts w:eastAsiaTheme="minorHAnsi" w:cstheme="minorHAnsi"/>
          <w:lang w:val="en-US" w:eastAsia="en-US"/>
        </w:rPr>
        <w:t>s</w:t>
      </w:r>
      <w:r w:rsidRPr="000124D1">
        <w:rPr>
          <w:rFonts w:eastAsiaTheme="minorHAnsi" w:cstheme="minorHAnsi"/>
          <w:lang w:val="en-US" w:eastAsia="en-US"/>
        </w:rPr>
        <w:t xml:space="preserve"> to the </w:t>
      </w:r>
      <w:r w:rsidR="000124D1" w:rsidRPr="000124D1">
        <w:rPr>
          <w:rFonts w:eastAsiaTheme="minorHAnsi" w:cstheme="minorHAnsi"/>
          <w:lang w:val="en-US" w:eastAsia="en-US"/>
        </w:rPr>
        <w:t xml:space="preserve">OECD </w:t>
      </w:r>
      <w:r w:rsidRPr="000124D1">
        <w:rPr>
          <w:rFonts w:eastAsiaTheme="minorHAnsi" w:cstheme="minorHAnsi"/>
          <w:lang w:val="en-US" w:eastAsia="en-US"/>
        </w:rPr>
        <w:t>principle note</w:t>
      </w:r>
      <w:r w:rsidR="00FE3831">
        <w:rPr>
          <w:rFonts w:eastAsiaTheme="minorHAnsi" w:cstheme="minorHAnsi"/>
          <w:lang w:val="en-US" w:eastAsia="en-US"/>
        </w:rPr>
        <w:t>s</w:t>
      </w:r>
      <w:r w:rsidRPr="000124D1">
        <w:rPr>
          <w:rFonts w:eastAsiaTheme="minorHAnsi" w:cstheme="minorHAnsi"/>
          <w:lang w:val="en-US" w:eastAsia="en-US"/>
        </w:rPr>
        <w:t xml:space="preserve"> that, i</w:t>
      </w:r>
      <w:r w:rsidR="001A658E" w:rsidRPr="000124D1">
        <w:rPr>
          <w:rFonts w:eastAsiaTheme="minorHAnsi" w:cstheme="minorHAnsi"/>
          <w:lang w:val="en-US" w:eastAsia="en-US"/>
        </w:rPr>
        <w:t xml:space="preserve">n providing protection to investors, a distinction </w:t>
      </w:r>
      <w:r w:rsidR="000124D1" w:rsidRPr="000124D1">
        <w:rPr>
          <w:rFonts w:eastAsiaTheme="minorHAnsi" w:cstheme="minorHAnsi"/>
          <w:lang w:val="en-US" w:eastAsia="en-US"/>
        </w:rPr>
        <w:t>should be</w:t>
      </w:r>
      <w:r w:rsidR="001A658E" w:rsidRPr="000124D1">
        <w:rPr>
          <w:rFonts w:eastAsiaTheme="minorHAnsi" w:cstheme="minorHAnsi"/>
          <w:lang w:val="en-US" w:eastAsia="en-US"/>
        </w:rPr>
        <w:t xml:space="preserve"> made between ex ante and ex post shareholders' rights. Ex ante rights are pre-emptive rights </w:t>
      </w:r>
      <w:r w:rsidR="000124D1" w:rsidRPr="000124D1">
        <w:rPr>
          <w:rFonts w:eastAsiaTheme="minorHAnsi" w:cstheme="minorHAnsi"/>
          <w:lang w:val="en-US" w:eastAsia="en-US"/>
        </w:rPr>
        <w:t>for shareholders, for example,</w:t>
      </w:r>
      <w:r w:rsidR="001A658E" w:rsidRPr="000124D1">
        <w:rPr>
          <w:rFonts w:eastAsiaTheme="minorHAnsi" w:cstheme="minorHAnsi"/>
          <w:lang w:val="en-US" w:eastAsia="en-US"/>
        </w:rPr>
        <w:t xml:space="preserve"> </w:t>
      </w:r>
      <w:r w:rsidR="000124D1" w:rsidRPr="000124D1">
        <w:rPr>
          <w:rFonts w:eastAsiaTheme="minorHAnsi" w:cstheme="minorHAnsi"/>
          <w:lang w:val="en-US" w:eastAsia="en-US"/>
        </w:rPr>
        <w:t>certain decisions of the company can only be taken by an overwhelming majority of shareholders while</w:t>
      </w:r>
      <w:r w:rsidRPr="000124D1">
        <w:rPr>
          <w:rFonts w:eastAsiaTheme="minorHAnsi" w:cstheme="minorHAnsi"/>
          <w:lang w:val="en-US" w:eastAsia="en-US"/>
        </w:rPr>
        <w:t xml:space="preserve"> e</w:t>
      </w:r>
      <w:r w:rsidR="001A658E" w:rsidRPr="000124D1">
        <w:rPr>
          <w:rFonts w:eastAsiaTheme="minorHAnsi" w:cstheme="minorHAnsi"/>
          <w:lang w:val="en-US" w:eastAsia="en-US"/>
        </w:rPr>
        <w:t xml:space="preserve">x post rights cover access to redress once </w:t>
      </w:r>
      <w:r w:rsidRPr="000124D1">
        <w:rPr>
          <w:rFonts w:eastAsiaTheme="minorHAnsi" w:cstheme="minorHAnsi"/>
          <w:lang w:val="en-US" w:eastAsia="en-US"/>
        </w:rPr>
        <w:t xml:space="preserve">the </w:t>
      </w:r>
      <w:r w:rsidR="001A658E" w:rsidRPr="000124D1">
        <w:rPr>
          <w:rFonts w:eastAsiaTheme="minorHAnsi" w:cstheme="minorHAnsi"/>
          <w:lang w:val="en-US" w:eastAsia="en-US"/>
        </w:rPr>
        <w:t>rights</w:t>
      </w:r>
      <w:r w:rsidRPr="000124D1">
        <w:rPr>
          <w:rFonts w:eastAsiaTheme="minorHAnsi" w:cstheme="minorHAnsi"/>
          <w:lang w:val="en-US" w:eastAsia="en-US"/>
        </w:rPr>
        <w:t xml:space="preserve"> of the shareholders</w:t>
      </w:r>
      <w:r w:rsidR="001A658E" w:rsidRPr="000124D1">
        <w:rPr>
          <w:rFonts w:eastAsiaTheme="minorHAnsi" w:cstheme="minorHAnsi"/>
          <w:lang w:val="en-US" w:eastAsia="en-US"/>
        </w:rPr>
        <w:t xml:space="preserve"> have been violated</w:t>
      </w:r>
      <w:r w:rsidR="000124D1" w:rsidRPr="000124D1">
        <w:rPr>
          <w:rFonts w:eastAsiaTheme="minorHAnsi" w:cstheme="minorHAnsi"/>
          <w:lang w:val="en-US" w:eastAsia="en-US"/>
        </w:rPr>
        <w:t xml:space="preserve"> – they define whether</w:t>
      </w:r>
      <w:r w:rsidR="001A658E" w:rsidRPr="000124D1">
        <w:rPr>
          <w:rFonts w:eastAsiaTheme="minorHAnsi" w:cstheme="minorHAnsi"/>
          <w:lang w:val="en-US" w:eastAsia="en-US"/>
        </w:rPr>
        <w:t xml:space="preserve"> shareholders can obtain redress</w:t>
      </w:r>
      <w:r w:rsidR="000124D1" w:rsidRPr="000124D1">
        <w:rPr>
          <w:rFonts w:eastAsiaTheme="minorHAnsi" w:cstheme="minorHAnsi"/>
          <w:lang w:val="en-US" w:eastAsia="en-US"/>
        </w:rPr>
        <w:t>al of their grievances</w:t>
      </w:r>
      <w:r w:rsidR="001A658E" w:rsidRPr="000124D1">
        <w:rPr>
          <w:rFonts w:eastAsiaTheme="minorHAnsi" w:cstheme="minorHAnsi"/>
          <w:lang w:val="en-US" w:eastAsia="en-US"/>
        </w:rPr>
        <w:t xml:space="preserve"> at a reasonable cost and without excessive delay. </w:t>
      </w:r>
    </w:p>
    <w:p w:rsidR="00A64E4C" w:rsidRDefault="001A658E" w:rsidP="00877E7A">
      <w:pPr>
        <w:autoSpaceDE w:val="0"/>
        <w:autoSpaceDN w:val="0"/>
        <w:adjustRightInd w:val="0"/>
        <w:rPr>
          <w:rFonts w:eastAsiaTheme="minorHAnsi" w:cstheme="minorHAnsi"/>
          <w:i/>
          <w:lang w:val="en-US" w:eastAsia="en-US"/>
        </w:rPr>
      </w:pPr>
      <w:r w:rsidRPr="000124D1">
        <w:rPr>
          <w:rFonts w:eastAsiaTheme="minorHAnsi" w:cstheme="minorHAnsi"/>
          <w:lang w:val="en-US" w:eastAsia="en-US"/>
        </w:rPr>
        <w:t xml:space="preserve">Furthermore, the </w:t>
      </w:r>
      <w:r w:rsidR="000124D1" w:rsidRPr="000124D1">
        <w:rPr>
          <w:rFonts w:eastAsiaTheme="minorHAnsi" w:cstheme="minorHAnsi"/>
          <w:lang w:val="en-US" w:eastAsia="en-US"/>
        </w:rPr>
        <w:t xml:space="preserve">OECD </w:t>
      </w:r>
      <w:r w:rsidRPr="000124D1">
        <w:rPr>
          <w:rFonts w:eastAsiaTheme="minorHAnsi" w:cstheme="minorHAnsi"/>
          <w:lang w:val="en-US" w:eastAsia="en-US"/>
        </w:rPr>
        <w:t>Principles</w:t>
      </w:r>
      <w:r w:rsidR="00FD5B25">
        <w:rPr>
          <w:rFonts w:eastAsiaTheme="minorHAnsi" w:cstheme="minorHAnsi"/>
          <w:lang w:val="en-US" w:eastAsia="en-US"/>
        </w:rPr>
        <w:t xml:space="preserve"> of corporate governance </w:t>
      </w:r>
      <w:r w:rsidR="00F321EF" w:rsidRPr="000124D1">
        <w:rPr>
          <w:rFonts w:eastAsiaTheme="minorHAnsi" w:cstheme="minorHAnsi"/>
          <w:lang w:val="en-US" w:eastAsia="en-US"/>
        </w:rPr>
        <w:t>support</w:t>
      </w:r>
      <w:r w:rsidR="00F321EF">
        <w:rPr>
          <w:rFonts w:eastAsiaTheme="minorHAnsi" w:cstheme="minorHAnsi"/>
          <w:lang w:val="en-US" w:eastAsia="en-US"/>
        </w:rPr>
        <w:t xml:space="preserve"> </w:t>
      </w:r>
      <w:r w:rsidR="00F321EF" w:rsidRPr="000124D1">
        <w:rPr>
          <w:rFonts w:eastAsiaTheme="minorHAnsi" w:cstheme="minorHAnsi"/>
          <w:lang w:val="en-US" w:eastAsia="en-US"/>
        </w:rPr>
        <w:t>equal</w:t>
      </w:r>
      <w:r w:rsidRPr="000124D1">
        <w:rPr>
          <w:rFonts w:eastAsiaTheme="minorHAnsi" w:cstheme="minorHAnsi"/>
          <w:lang w:val="en-US" w:eastAsia="en-US"/>
        </w:rPr>
        <w:t xml:space="preserve"> treatment for foreign and domestic shareholders </w:t>
      </w:r>
      <w:r w:rsidR="00FD5B25">
        <w:rPr>
          <w:rFonts w:eastAsiaTheme="minorHAnsi" w:cstheme="minorHAnsi"/>
          <w:lang w:val="en-US" w:eastAsia="en-US"/>
        </w:rPr>
        <w:t xml:space="preserve">and </w:t>
      </w:r>
      <w:r w:rsidR="00FD5B25" w:rsidRPr="000124D1">
        <w:rPr>
          <w:rFonts w:eastAsiaTheme="minorHAnsi" w:cstheme="minorHAnsi"/>
          <w:lang w:val="en-US" w:eastAsia="en-US"/>
        </w:rPr>
        <w:t>pay</w:t>
      </w:r>
      <w:r w:rsidR="000124D1" w:rsidRPr="000124D1">
        <w:rPr>
          <w:rFonts w:eastAsiaTheme="minorHAnsi" w:cstheme="minorHAnsi"/>
          <w:lang w:val="en-US" w:eastAsia="en-US"/>
        </w:rPr>
        <w:t xml:space="preserve"> m</w:t>
      </w:r>
      <w:r w:rsidRPr="000124D1">
        <w:rPr>
          <w:rFonts w:eastAsiaTheme="minorHAnsi" w:cstheme="minorHAnsi"/>
          <w:lang w:val="en-US" w:eastAsia="en-US"/>
        </w:rPr>
        <w:t xml:space="preserve">uch attention </w:t>
      </w:r>
      <w:r w:rsidR="000124D1" w:rsidRPr="000124D1">
        <w:rPr>
          <w:rFonts w:eastAsiaTheme="minorHAnsi" w:cstheme="minorHAnsi"/>
          <w:lang w:val="en-US" w:eastAsia="en-US"/>
        </w:rPr>
        <w:t>t</w:t>
      </w:r>
      <w:r w:rsidRPr="000124D1">
        <w:rPr>
          <w:rFonts w:eastAsiaTheme="minorHAnsi" w:cstheme="minorHAnsi"/>
          <w:lang w:val="en-US" w:eastAsia="en-US"/>
        </w:rPr>
        <w:t xml:space="preserve">o the protection of </w:t>
      </w:r>
      <w:r w:rsidR="000124D1" w:rsidRPr="000124D1">
        <w:rPr>
          <w:rFonts w:eastAsiaTheme="minorHAnsi" w:cstheme="minorHAnsi"/>
          <w:lang w:val="en-US" w:eastAsia="en-US"/>
        </w:rPr>
        <w:t xml:space="preserve">the rights of the </w:t>
      </w:r>
      <w:r w:rsidRPr="000124D1">
        <w:rPr>
          <w:rFonts w:eastAsiaTheme="minorHAnsi" w:cstheme="minorHAnsi"/>
          <w:lang w:val="en-US" w:eastAsia="en-US"/>
        </w:rPr>
        <w:t>non-</w:t>
      </w:r>
      <w:r w:rsidR="000124D1" w:rsidRPr="000124D1">
        <w:rPr>
          <w:rFonts w:eastAsiaTheme="minorHAnsi" w:cstheme="minorHAnsi"/>
          <w:lang w:val="en-US" w:eastAsia="en-US"/>
        </w:rPr>
        <w:t>controlling (minority)</w:t>
      </w:r>
      <w:r w:rsidRPr="000124D1">
        <w:rPr>
          <w:rFonts w:eastAsiaTheme="minorHAnsi" w:cstheme="minorHAnsi"/>
          <w:lang w:val="en-US" w:eastAsia="en-US"/>
        </w:rPr>
        <w:t xml:space="preserve"> shareholder</w:t>
      </w:r>
      <w:r w:rsidR="000124D1" w:rsidRPr="000124D1">
        <w:rPr>
          <w:rFonts w:eastAsiaTheme="minorHAnsi" w:cstheme="minorHAnsi"/>
          <w:lang w:val="en-US" w:eastAsia="en-US"/>
        </w:rPr>
        <w:t>s</w:t>
      </w:r>
      <w:r w:rsidRPr="000124D1">
        <w:rPr>
          <w:rFonts w:eastAsiaTheme="minorHAnsi" w:cstheme="minorHAnsi"/>
          <w:lang w:val="en-US" w:eastAsia="en-US"/>
        </w:rPr>
        <w:t xml:space="preserve">. </w:t>
      </w:r>
      <w:r w:rsidR="00F321EF">
        <w:rPr>
          <w:rFonts w:eastAsiaTheme="minorHAnsi" w:cstheme="minorHAnsi"/>
          <w:lang w:val="en-US" w:eastAsia="en-US"/>
        </w:rPr>
        <w:t xml:space="preserve">Besides a </w:t>
      </w:r>
      <w:r w:rsidR="00F321EF" w:rsidRPr="000124D1">
        <w:rPr>
          <w:rFonts w:eastAsiaTheme="minorHAnsi" w:cstheme="minorHAnsi"/>
          <w:lang w:val="en-US" w:eastAsia="en-US"/>
        </w:rPr>
        <w:t>transparent</w:t>
      </w:r>
      <w:r w:rsidR="000124D1" w:rsidRPr="000124D1">
        <w:rPr>
          <w:rFonts w:eastAsiaTheme="minorHAnsi" w:cstheme="minorHAnsi"/>
          <w:lang w:val="en-US" w:eastAsia="en-US"/>
        </w:rPr>
        <w:t xml:space="preserve"> </w:t>
      </w:r>
      <w:r w:rsidRPr="000124D1">
        <w:rPr>
          <w:rFonts w:eastAsiaTheme="minorHAnsi" w:cstheme="minorHAnsi"/>
          <w:lang w:val="en-US" w:eastAsia="en-US"/>
        </w:rPr>
        <w:t>disclosure</w:t>
      </w:r>
      <w:r w:rsidR="00F321EF">
        <w:rPr>
          <w:rFonts w:eastAsiaTheme="minorHAnsi" w:cstheme="minorHAnsi"/>
          <w:lang w:val="en-US" w:eastAsia="en-US"/>
        </w:rPr>
        <w:t xml:space="preserve"> policy</w:t>
      </w:r>
      <w:r w:rsidR="00FD5B25">
        <w:rPr>
          <w:rFonts w:eastAsiaTheme="minorHAnsi" w:cstheme="minorHAnsi"/>
          <w:lang w:val="en-US" w:eastAsia="en-US"/>
        </w:rPr>
        <w:t xml:space="preserve"> to</w:t>
      </w:r>
      <w:r w:rsidR="00F321EF">
        <w:rPr>
          <w:rFonts w:eastAsiaTheme="minorHAnsi" w:cstheme="minorHAnsi"/>
          <w:lang w:val="en-US" w:eastAsia="en-US"/>
        </w:rPr>
        <w:t xml:space="preserve"> all</w:t>
      </w:r>
      <w:r w:rsidR="00FD5B25">
        <w:rPr>
          <w:rFonts w:eastAsiaTheme="minorHAnsi" w:cstheme="minorHAnsi"/>
          <w:lang w:val="en-US" w:eastAsia="en-US"/>
        </w:rPr>
        <w:t xml:space="preserve"> shareholders</w:t>
      </w:r>
      <w:r w:rsidRPr="000124D1">
        <w:rPr>
          <w:rFonts w:eastAsiaTheme="minorHAnsi" w:cstheme="minorHAnsi"/>
          <w:lang w:val="en-US" w:eastAsia="en-US"/>
        </w:rPr>
        <w:t xml:space="preserve">, a key to protecting </w:t>
      </w:r>
      <w:r w:rsidR="00FD5B25">
        <w:rPr>
          <w:rFonts w:eastAsiaTheme="minorHAnsi" w:cstheme="minorHAnsi"/>
          <w:lang w:val="en-US" w:eastAsia="en-US"/>
        </w:rPr>
        <w:t xml:space="preserve">the interest of </w:t>
      </w:r>
      <w:r w:rsidRPr="000124D1">
        <w:rPr>
          <w:rFonts w:eastAsiaTheme="minorHAnsi" w:cstheme="minorHAnsi"/>
          <w:lang w:val="en-US" w:eastAsia="en-US"/>
        </w:rPr>
        <w:t>non-controlling shareholders is a clearly articulated duty of loyalty by board members to the company and to all shareholders</w:t>
      </w:r>
      <w:r w:rsidRPr="00A64E4C">
        <w:rPr>
          <w:rFonts w:eastAsiaTheme="minorHAnsi" w:cstheme="minorHAnsi"/>
          <w:i/>
          <w:lang w:val="en-US" w:eastAsia="en-US"/>
        </w:rPr>
        <w:t>.</w:t>
      </w:r>
    </w:p>
    <w:p w:rsidR="00382580" w:rsidRPr="00430C7D" w:rsidRDefault="00E25F03" w:rsidP="00877E7A">
      <w:pPr>
        <w:autoSpaceDE w:val="0"/>
        <w:autoSpaceDN w:val="0"/>
        <w:adjustRightInd w:val="0"/>
        <w:rPr>
          <w:rFonts w:eastAsiaTheme="minorHAnsi" w:cstheme="minorHAnsi"/>
          <w:lang w:val="en-US" w:eastAsia="en-US"/>
        </w:rPr>
      </w:pPr>
      <w:r w:rsidRPr="00430C7D">
        <w:rPr>
          <w:rFonts w:eastAsiaTheme="minorHAnsi" w:cstheme="minorHAnsi"/>
          <w:lang w:val="en-US" w:eastAsia="en-US"/>
        </w:rPr>
        <w:t xml:space="preserve">In addition to </w:t>
      </w:r>
      <w:r w:rsidR="00382580" w:rsidRPr="00430C7D">
        <w:rPr>
          <w:rFonts w:eastAsiaTheme="minorHAnsi" w:cstheme="minorHAnsi"/>
          <w:lang w:val="en-US" w:eastAsia="en-US"/>
        </w:rPr>
        <w:t>the same</w:t>
      </w:r>
      <w:r w:rsidR="00967BFE" w:rsidRPr="00430C7D">
        <w:rPr>
          <w:rFonts w:eastAsiaTheme="minorHAnsi" w:cstheme="minorHAnsi"/>
          <w:lang w:val="en-US" w:eastAsia="en-US"/>
        </w:rPr>
        <w:t xml:space="preserve"> core</w:t>
      </w:r>
      <w:r w:rsidRPr="00430C7D">
        <w:rPr>
          <w:rFonts w:eastAsiaTheme="minorHAnsi" w:cstheme="minorHAnsi"/>
          <w:lang w:val="en-US" w:eastAsia="en-US"/>
        </w:rPr>
        <w:t xml:space="preserve"> </w:t>
      </w:r>
      <w:r w:rsidR="00967BFE" w:rsidRPr="00430C7D">
        <w:rPr>
          <w:rFonts w:eastAsiaTheme="minorHAnsi" w:cstheme="minorHAnsi"/>
          <w:lang w:val="en-US" w:eastAsia="en-US"/>
        </w:rPr>
        <w:t>problem</w:t>
      </w:r>
      <w:r w:rsidR="00430C7D">
        <w:rPr>
          <w:rFonts w:eastAsiaTheme="minorHAnsi" w:cstheme="minorHAnsi"/>
          <w:lang w:val="en-US" w:eastAsia="en-US"/>
        </w:rPr>
        <w:t>,</w:t>
      </w:r>
      <w:r w:rsidR="00967BFE" w:rsidRPr="00430C7D">
        <w:rPr>
          <w:rFonts w:eastAsiaTheme="minorHAnsi" w:cstheme="minorHAnsi"/>
          <w:lang w:val="en-US" w:eastAsia="en-US"/>
        </w:rPr>
        <w:t xml:space="preserve"> in terms of separation of control and </w:t>
      </w:r>
      <w:r w:rsidR="006012FC" w:rsidRPr="00430C7D">
        <w:rPr>
          <w:rFonts w:eastAsiaTheme="minorHAnsi" w:cstheme="minorHAnsi"/>
          <w:lang w:val="en-US" w:eastAsia="en-US"/>
        </w:rPr>
        <w:t>ownership</w:t>
      </w:r>
      <w:r w:rsidR="006012FC">
        <w:rPr>
          <w:rFonts w:eastAsiaTheme="minorHAnsi" w:cstheme="minorHAnsi"/>
          <w:lang w:val="en-US" w:eastAsia="en-US"/>
        </w:rPr>
        <w:t xml:space="preserve"> that is faced by private organizations</w:t>
      </w:r>
      <w:r w:rsidR="001A7D00">
        <w:rPr>
          <w:rFonts w:eastAsiaTheme="minorHAnsi" w:cstheme="minorHAnsi"/>
          <w:lang w:val="en-US" w:eastAsia="en-US"/>
        </w:rPr>
        <w:t>,</w:t>
      </w:r>
      <w:r w:rsidR="00382580" w:rsidRPr="00430C7D">
        <w:rPr>
          <w:rFonts w:eastAsiaTheme="minorHAnsi" w:cstheme="minorHAnsi"/>
          <w:lang w:val="en-US" w:eastAsia="en-US"/>
        </w:rPr>
        <w:t xml:space="preserve"> </w:t>
      </w:r>
      <w:r w:rsidRPr="00430C7D">
        <w:rPr>
          <w:rFonts w:eastAsiaTheme="minorHAnsi" w:cstheme="minorHAnsi"/>
          <w:lang w:val="en-US" w:eastAsia="en-US"/>
        </w:rPr>
        <w:t>State owned enterprises (SOEs</w:t>
      </w:r>
      <w:r w:rsidR="00430C7D" w:rsidRPr="00430C7D">
        <w:rPr>
          <w:rFonts w:eastAsiaTheme="minorHAnsi" w:cstheme="minorHAnsi"/>
          <w:lang w:val="en-US" w:eastAsia="en-US"/>
        </w:rPr>
        <w:t>) face</w:t>
      </w:r>
      <w:r w:rsidR="00967BFE" w:rsidRPr="00430C7D">
        <w:rPr>
          <w:rFonts w:eastAsiaTheme="minorHAnsi" w:cstheme="minorHAnsi"/>
          <w:lang w:val="en-US" w:eastAsia="en-US"/>
        </w:rPr>
        <w:t xml:space="preserve"> additional</w:t>
      </w:r>
      <w:r w:rsidR="001A7D00">
        <w:rPr>
          <w:rFonts w:eastAsiaTheme="minorHAnsi" w:cstheme="minorHAnsi"/>
          <w:lang w:val="en-US" w:eastAsia="en-US"/>
        </w:rPr>
        <w:t xml:space="preserve"> and significant </w:t>
      </w:r>
      <w:r w:rsidR="001A7D00" w:rsidRPr="00430C7D">
        <w:rPr>
          <w:rFonts w:eastAsiaTheme="minorHAnsi" w:cstheme="minorHAnsi"/>
          <w:lang w:val="en-US" w:eastAsia="en-US"/>
        </w:rPr>
        <w:t>challenges</w:t>
      </w:r>
      <w:r w:rsidR="00967BFE" w:rsidRPr="00430C7D">
        <w:rPr>
          <w:rFonts w:eastAsiaTheme="minorHAnsi" w:cstheme="minorHAnsi"/>
          <w:lang w:val="en-US" w:eastAsia="en-US"/>
        </w:rPr>
        <w:t xml:space="preserve"> that</w:t>
      </w:r>
      <w:r w:rsidRPr="00430C7D">
        <w:rPr>
          <w:rFonts w:eastAsiaTheme="minorHAnsi" w:cstheme="minorHAnsi"/>
          <w:lang w:val="en-US" w:eastAsia="en-US"/>
        </w:rPr>
        <w:t xml:space="preserve"> </w:t>
      </w:r>
      <w:r w:rsidR="00967BFE" w:rsidRPr="00430C7D">
        <w:rPr>
          <w:rFonts w:eastAsiaTheme="minorHAnsi" w:cstheme="minorHAnsi"/>
          <w:lang w:val="en-US" w:eastAsia="en-US"/>
        </w:rPr>
        <w:t xml:space="preserve">can severely undermine their </w:t>
      </w:r>
      <w:r w:rsidR="00382580" w:rsidRPr="00430C7D">
        <w:rPr>
          <w:rFonts w:eastAsiaTheme="minorHAnsi" w:cstheme="minorHAnsi"/>
          <w:lang w:val="en-US" w:eastAsia="en-US"/>
        </w:rPr>
        <w:t>governance process.</w:t>
      </w:r>
      <w:r w:rsidR="00967BFE" w:rsidRPr="00430C7D">
        <w:rPr>
          <w:rFonts w:eastAsiaTheme="minorHAnsi" w:cstheme="minorHAnsi"/>
          <w:lang w:val="en-US" w:eastAsia="en-US"/>
        </w:rPr>
        <w:t xml:space="preserve"> </w:t>
      </w:r>
    </w:p>
    <w:p w:rsidR="00923E5F" w:rsidRDefault="006012FC" w:rsidP="00877E7A">
      <w:pPr>
        <w:autoSpaceDE w:val="0"/>
        <w:autoSpaceDN w:val="0"/>
        <w:adjustRightInd w:val="0"/>
        <w:rPr>
          <w:rFonts w:eastAsiaTheme="minorHAnsi" w:cstheme="minorHAnsi"/>
          <w:lang w:val="en-US" w:eastAsia="en-US"/>
        </w:rPr>
      </w:pPr>
      <w:r>
        <w:rPr>
          <w:rFonts w:eastAsiaTheme="minorHAnsi" w:cstheme="minorHAnsi"/>
          <w:lang w:val="en-US" w:eastAsia="en-US"/>
        </w:rPr>
        <w:lastRenderedPageBreak/>
        <w:t xml:space="preserve">A </w:t>
      </w:r>
      <w:r w:rsidR="00430C7D">
        <w:rPr>
          <w:rFonts w:eastAsiaTheme="minorHAnsi" w:cstheme="minorHAnsi"/>
          <w:lang w:val="en-US" w:eastAsia="en-US"/>
        </w:rPr>
        <w:t>World Bank Study on the challenge of SOE Corporate Governance</w:t>
      </w:r>
      <w:r w:rsidR="00430C7D">
        <w:rPr>
          <w:rStyle w:val="FootnoteReference"/>
          <w:rFonts w:eastAsiaTheme="minorHAnsi" w:cstheme="minorHAnsi"/>
          <w:lang w:val="en-US" w:eastAsia="en-US"/>
        </w:rPr>
        <w:footnoteReference w:id="28"/>
      </w:r>
      <w:r w:rsidR="00430C7D">
        <w:rPr>
          <w:rFonts w:eastAsiaTheme="minorHAnsi" w:cstheme="minorHAnsi"/>
          <w:lang w:val="en-US" w:eastAsia="en-US"/>
        </w:rPr>
        <w:t xml:space="preserve"> </w:t>
      </w:r>
      <w:r w:rsidR="00310C55">
        <w:rPr>
          <w:rFonts w:eastAsiaTheme="minorHAnsi" w:cstheme="minorHAnsi"/>
          <w:lang w:val="en-US" w:eastAsia="en-US"/>
        </w:rPr>
        <w:t xml:space="preserve"> lists</w:t>
      </w:r>
      <w:r w:rsidR="00430C7D">
        <w:rPr>
          <w:rFonts w:eastAsiaTheme="minorHAnsi" w:cstheme="minorHAnsi"/>
          <w:lang w:val="en-US" w:eastAsia="en-US"/>
        </w:rPr>
        <w:t xml:space="preserve"> three </w:t>
      </w:r>
      <w:r w:rsidR="00310C55">
        <w:rPr>
          <w:rFonts w:eastAsiaTheme="minorHAnsi" w:cstheme="minorHAnsi"/>
          <w:lang w:val="en-US" w:eastAsia="en-US"/>
        </w:rPr>
        <w:t xml:space="preserve">additional and </w:t>
      </w:r>
      <w:r w:rsidR="00430C7D">
        <w:rPr>
          <w:rFonts w:eastAsiaTheme="minorHAnsi" w:cstheme="minorHAnsi"/>
          <w:lang w:val="en-US" w:eastAsia="en-US"/>
        </w:rPr>
        <w:t>significant governance challenges for SOEs</w:t>
      </w:r>
      <w:r w:rsidR="00310C55">
        <w:rPr>
          <w:rFonts w:eastAsiaTheme="minorHAnsi" w:cstheme="minorHAnsi"/>
          <w:lang w:val="en-US" w:eastAsia="en-US"/>
        </w:rPr>
        <w:t xml:space="preserve"> as compared to a normal organization</w:t>
      </w:r>
      <w:r w:rsidR="00430C7D">
        <w:rPr>
          <w:rFonts w:eastAsiaTheme="minorHAnsi" w:cstheme="minorHAnsi"/>
          <w:lang w:val="en-US" w:eastAsia="en-US"/>
        </w:rPr>
        <w:t xml:space="preserve">. </w:t>
      </w:r>
    </w:p>
    <w:p w:rsidR="00382580" w:rsidRPr="00430C7D" w:rsidRDefault="00430C7D" w:rsidP="00877E7A">
      <w:pPr>
        <w:autoSpaceDE w:val="0"/>
        <w:autoSpaceDN w:val="0"/>
        <w:adjustRightInd w:val="0"/>
        <w:rPr>
          <w:rFonts w:eastAsiaTheme="minorHAnsi" w:cstheme="minorHAnsi"/>
          <w:lang w:val="en-US" w:eastAsia="en-US"/>
        </w:rPr>
      </w:pPr>
      <w:r>
        <w:rPr>
          <w:rFonts w:eastAsiaTheme="minorHAnsi" w:cstheme="minorHAnsi"/>
          <w:lang w:val="en-US" w:eastAsia="en-US"/>
        </w:rPr>
        <w:t>Firstly, un</w:t>
      </w:r>
      <w:r w:rsidR="00967BFE" w:rsidRPr="00430C7D">
        <w:rPr>
          <w:rFonts w:eastAsiaTheme="minorHAnsi" w:cstheme="minorHAnsi"/>
          <w:lang w:val="en-US" w:eastAsia="en-US"/>
        </w:rPr>
        <w:t>like a widely held corporation in the private</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sector, an SOE generally cannot have its board</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 xml:space="preserve">changed via a takeover or proxy </w:t>
      </w:r>
      <w:r w:rsidR="00FE3831" w:rsidRPr="00430C7D">
        <w:rPr>
          <w:rFonts w:eastAsiaTheme="minorHAnsi" w:cstheme="minorHAnsi"/>
          <w:lang w:val="en-US" w:eastAsia="en-US"/>
        </w:rPr>
        <w:t>contest</w:t>
      </w:r>
      <w:r w:rsidR="00FE3831">
        <w:rPr>
          <w:rFonts w:eastAsiaTheme="minorHAnsi" w:cstheme="minorHAnsi"/>
          <w:lang w:val="en-US" w:eastAsia="en-US"/>
        </w:rPr>
        <w:t xml:space="preserve"> </w:t>
      </w:r>
      <w:r w:rsidR="00FE3831" w:rsidRPr="00430C7D">
        <w:rPr>
          <w:rFonts w:eastAsiaTheme="minorHAnsi" w:cstheme="minorHAnsi"/>
          <w:lang w:val="en-US" w:eastAsia="en-US"/>
        </w:rPr>
        <w:t>and</w:t>
      </w:r>
      <w:r w:rsidR="00967BFE" w:rsidRPr="00430C7D">
        <w:rPr>
          <w:rFonts w:eastAsiaTheme="minorHAnsi" w:cstheme="minorHAnsi"/>
          <w:lang w:val="en-US" w:eastAsia="en-US"/>
        </w:rPr>
        <w:t xml:space="preserve"> most</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 xml:space="preserve">cannot go bankrupt. </w:t>
      </w:r>
      <w:r w:rsidR="00923E5F">
        <w:rPr>
          <w:rFonts w:eastAsiaTheme="minorHAnsi" w:cstheme="minorHAnsi"/>
          <w:lang w:val="en-US" w:eastAsia="en-US"/>
        </w:rPr>
        <w:t>Not only does t</w:t>
      </w:r>
      <w:r w:rsidR="00967BFE" w:rsidRPr="00430C7D">
        <w:rPr>
          <w:rFonts w:eastAsiaTheme="minorHAnsi" w:cstheme="minorHAnsi"/>
          <w:lang w:val="en-US" w:eastAsia="en-US"/>
        </w:rPr>
        <w:t>he incentives of</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board members and managers to maximize the value</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of the company</w:t>
      </w:r>
      <w:r>
        <w:rPr>
          <w:rFonts w:eastAsiaTheme="minorHAnsi" w:cstheme="minorHAnsi"/>
          <w:lang w:val="en-US" w:eastAsia="en-US"/>
        </w:rPr>
        <w:t xml:space="preserve"> gets reduced in the </w:t>
      </w:r>
      <w:r w:rsidRPr="00430C7D">
        <w:rPr>
          <w:rFonts w:eastAsiaTheme="minorHAnsi" w:cstheme="minorHAnsi"/>
          <w:lang w:val="en-US" w:eastAsia="en-US"/>
        </w:rPr>
        <w:t>absence of potential takeovers and proxy contests</w:t>
      </w:r>
      <w:r>
        <w:rPr>
          <w:rFonts w:eastAsiaTheme="minorHAnsi" w:cstheme="minorHAnsi"/>
          <w:lang w:val="en-US" w:eastAsia="en-US"/>
        </w:rPr>
        <w:t xml:space="preserve"> </w:t>
      </w:r>
      <w:r w:rsidR="00923E5F">
        <w:rPr>
          <w:rFonts w:eastAsiaTheme="minorHAnsi" w:cstheme="minorHAnsi"/>
          <w:lang w:val="en-US" w:eastAsia="en-US"/>
        </w:rPr>
        <w:t xml:space="preserve">but </w:t>
      </w:r>
      <w:r>
        <w:rPr>
          <w:rFonts w:eastAsiaTheme="minorHAnsi" w:cstheme="minorHAnsi"/>
          <w:lang w:val="en-US" w:eastAsia="en-US"/>
        </w:rPr>
        <w:t xml:space="preserve">also the </w:t>
      </w:r>
      <w:r w:rsidR="00967BFE" w:rsidRPr="00430C7D">
        <w:rPr>
          <w:rFonts w:eastAsiaTheme="minorHAnsi" w:cstheme="minorHAnsi"/>
          <w:lang w:val="en-US" w:eastAsia="en-US"/>
        </w:rPr>
        <w:t xml:space="preserve"> lack of </w:t>
      </w:r>
      <w:r>
        <w:rPr>
          <w:rFonts w:eastAsiaTheme="minorHAnsi" w:cstheme="minorHAnsi"/>
          <w:lang w:val="en-US" w:eastAsia="en-US"/>
        </w:rPr>
        <w:t>the threat of bankruptcy</w:t>
      </w:r>
      <w:r w:rsidR="00967BFE" w:rsidRPr="00430C7D">
        <w:rPr>
          <w:rFonts w:eastAsiaTheme="minorHAnsi" w:cstheme="minorHAnsi"/>
          <w:lang w:val="en-US" w:eastAsia="en-US"/>
        </w:rPr>
        <w:t xml:space="preserve"> can </w:t>
      </w:r>
      <w:r>
        <w:rPr>
          <w:rFonts w:eastAsiaTheme="minorHAnsi" w:cstheme="minorHAnsi"/>
          <w:lang w:val="en-US" w:eastAsia="en-US"/>
        </w:rPr>
        <w:t xml:space="preserve">lead to the </w:t>
      </w:r>
      <w:r w:rsidR="00967BFE" w:rsidRPr="00430C7D">
        <w:rPr>
          <w:rFonts w:eastAsiaTheme="minorHAnsi" w:cstheme="minorHAnsi"/>
          <w:lang w:val="en-US" w:eastAsia="en-US"/>
        </w:rPr>
        <w:t>introduc</w:t>
      </w:r>
      <w:r>
        <w:rPr>
          <w:rFonts w:eastAsiaTheme="minorHAnsi" w:cstheme="minorHAnsi"/>
          <w:lang w:val="en-US" w:eastAsia="en-US"/>
        </w:rPr>
        <w:t xml:space="preserve">tion of </w:t>
      </w:r>
      <w:r w:rsidR="00967BFE" w:rsidRPr="00430C7D">
        <w:rPr>
          <w:rFonts w:eastAsiaTheme="minorHAnsi" w:cstheme="minorHAnsi"/>
          <w:lang w:val="en-US" w:eastAsia="en-US"/>
        </w:rPr>
        <w:t xml:space="preserve">a </w:t>
      </w:r>
      <w:r w:rsidR="00967BFE" w:rsidRPr="00430C7D">
        <w:rPr>
          <w:rFonts w:eastAsiaTheme="minorHAnsi" w:cstheme="minorHAnsi"/>
          <w:iCs/>
          <w:lang w:val="en-US" w:eastAsia="en-US"/>
        </w:rPr>
        <w:t xml:space="preserve">soft budget constraint, </w:t>
      </w:r>
      <w:r w:rsidR="00967BFE" w:rsidRPr="00430C7D">
        <w:rPr>
          <w:rFonts w:eastAsiaTheme="minorHAnsi" w:cstheme="minorHAnsi"/>
          <w:lang w:val="en-US" w:eastAsia="en-US"/>
        </w:rPr>
        <w:t>which reduces pressure</w:t>
      </w:r>
      <w:r w:rsidR="001A7D00">
        <w:rPr>
          <w:rFonts w:eastAsiaTheme="minorHAnsi" w:cstheme="minorHAnsi"/>
          <w:lang w:val="en-US" w:eastAsia="en-US"/>
        </w:rPr>
        <w:t xml:space="preserve"> on the SOE</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 xml:space="preserve">to contain costs. </w:t>
      </w:r>
      <w:r w:rsidR="001A7D00">
        <w:rPr>
          <w:rFonts w:eastAsiaTheme="minorHAnsi" w:cstheme="minorHAnsi"/>
          <w:lang w:val="en-US" w:eastAsia="en-US"/>
        </w:rPr>
        <w:t>Consequently,</w:t>
      </w:r>
      <w:r>
        <w:rPr>
          <w:rFonts w:eastAsiaTheme="minorHAnsi" w:cstheme="minorHAnsi"/>
          <w:lang w:val="en-US" w:eastAsia="en-US"/>
        </w:rPr>
        <w:t xml:space="preserve"> </w:t>
      </w:r>
      <w:r w:rsidR="00967BFE" w:rsidRPr="00430C7D">
        <w:rPr>
          <w:rFonts w:eastAsiaTheme="minorHAnsi" w:cstheme="minorHAnsi"/>
          <w:lang w:val="en-US" w:eastAsia="en-US"/>
        </w:rPr>
        <w:t>two of the most important</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checks on underperformance</w:t>
      </w:r>
      <w:r>
        <w:rPr>
          <w:rFonts w:eastAsiaTheme="minorHAnsi" w:cstheme="minorHAnsi"/>
          <w:lang w:val="en-US" w:eastAsia="en-US"/>
        </w:rPr>
        <w:t xml:space="preserve"> by an organization</w:t>
      </w:r>
      <w:r w:rsidR="00967BFE" w:rsidRPr="00430C7D">
        <w:rPr>
          <w:rFonts w:eastAsiaTheme="minorHAnsi" w:cstheme="minorHAnsi"/>
          <w:lang w:val="en-US" w:eastAsia="en-US"/>
        </w:rPr>
        <w:t xml:space="preserve"> are absent</w:t>
      </w:r>
      <w:r>
        <w:rPr>
          <w:rFonts w:eastAsiaTheme="minorHAnsi" w:cstheme="minorHAnsi"/>
          <w:lang w:val="en-US" w:eastAsia="en-US"/>
        </w:rPr>
        <w:t xml:space="preserve"> in the case of SOEs.</w:t>
      </w:r>
      <w:r w:rsidR="00967BFE" w:rsidRPr="00430C7D">
        <w:rPr>
          <w:rFonts w:eastAsiaTheme="minorHAnsi" w:cstheme="minorHAnsi"/>
          <w:lang w:val="en-US" w:eastAsia="en-US"/>
        </w:rPr>
        <w:t xml:space="preserve"> </w:t>
      </w:r>
    </w:p>
    <w:p w:rsidR="006012FC" w:rsidRDefault="00430C7D" w:rsidP="00877E7A">
      <w:pPr>
        <w:autoSpaceDE w:val="0"/>
        <w:autoSpaceDN w:val="0"/>
        <w:adjustRightInd w:val="0"/>
        <w:rPr>
          <w:rFonts w:eastAsiaTheme="minorHAnsi" w:cstheme="minorHAnsi"/>
          <w:lang w:val="en-US" w:eastAsia="en-US"/>
        </w:rPr>
      </w:pPr>
      <w:r>
        <w:rPr>
          <w:rFonts w:eastAsiaTheme="minorHAnsi" w:cstheme="minorHAnsi"/>
          <w:lang w:val="en-US" w:eastAsia="en-US"/>
        </w:rPr>
        <w:t>Secondly, even though</w:t>
      </w:r>
      <w:r w:rsidR="00967BFE" w:rsidRPr="00430C7D">
        <w:rPr>
          <w:rFonts w:eastAsiaTheme="minorHAnsi" w:cstheme="minorHAnsi"/>
          <w:lang w:val="en-US" w:eastAsia="en-US"/>
        </w:rPr>
        <w:t xml:space="preserve"> an SOE has very diffused owners</w:t>
      </w:r>
      <w:r w:rsidR="00382580" w:rsidRPr="00430C7D">
        <w:rPr>
          <w:rFonts w:eastAsiaTheme="minorHAnsi" w:cstheme="minorHAnsi"/>
          <w:lang w:val="en-US" w:eastAsia="en-US"/>
        </w:rPr>
        <w:t xml:space="preserve"> (citizens</w:t>
      </w:r>
      <w:r w:rsidRPr="00430C7D">
        <w:rPr>
          <w:rFonts w:eastAsiaTheme="minorHAnsi" w:cstheme="minorHAnsi"/>
          <w:lang w:val="en-US" w:eastAsia="en-US"/>
        </w:rPr>
        <w:t>) it</w:t>
      </w:r>
      <w:r w:rsidR="00382580" w:rsidRPr="00430C7D">
        <w:rPr>
          <w:rFonts w:eastAsiaTheme="minorHAnsi" w:cstheme="minorHAnsi"/>
          <w:lang w:val="en-US" w:eastAsia="en-US"/>
        </w:rPr>
        <w:t xml:space="preserve"> ge</w:t>
      </w:r>
      <w:r w:rsidR="00967BFE" w:rsidRPr="00430C7D">
        <w:rPr>
          <w:rFonts w:eastAsiaTheme="minorHAnsi" w:cstheme="minorHAnsi"/>
          <w:lang w:val="en-US" w:eastAsia="en-US"/>
        </w:rPr>
        <w:t>nerally</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has a higher body or bodies that oversee it</w:t>
      </w:r>
      <w:r>
        <w:rPr>
          <w:rFonts w:eastAsiaTheme="minorHAnsi" w:cstheme="minorHAnsi"/>
          <w:lang w:val="en-US" w:eastAsia="en-US"/>
        </w:rPr>
        <w:t>s functioning</w:t>
      </w:r>
      <w:r w:rsidR="00967BFE" w:rsidRPr="00430C7D">
        <w:rPr>
          <w:rFonts w:eastAsiaTheme="minorHAnsi" w:cstheme="minorHAnsi"/>
          <w:lang w:val="en-US" w:eastAsia="en-US"/>
        </w:rPr>
        <w:t>. This</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c</w:t>
      </w:r>
      <w:r w:rsidR="001A7D00">
        <w:rPr>
          <w:rFonts w:eastAsiaTheme="minorHAnsi" w:cstheme="minorHAnsi"/>
          <w:lang w:val="en-US" w:eastAsia="en-US"/>
        </w:rPr>
        <w:t>ould be in</w:t>
      </w:r>
      <w:r>
        <w:rPr>
          <w:rFonts w:eastAsiaTheme="minorHAnsi" w:cstheme="minorHAnsi"/>
          <w:lang w:val="en-US" w:eastAsia="en-US"/>
        </w:rPr>
        <w:t xml:space="preserve"> the form of </w:t>
      </w:r>
      <w:r w:rsidRPr="00430C7D">
        <w:rPr>
          <w:rFonts w:eastAsiaTheme="minorHAnsi" w:cstheme="minorHAnsi"/>
          <w:lang w:val="en-US" w:eastAsia="en-US"/>
        </w:rPr>
        <w:t>one</w:t>
      </w:r>
      <w:r w:rsidR="00967BFE" w:rsidRPr="00430C7D">
        <w:rPr>
          <w:rFonts w:eastAsiaTheme="minorHAnsi" w:cstheme="minorHAnsi"/>
          <w:lang w:val="en-US" w:eastAsia="en-US"/>
        </w:rPr>
        <w:t xml:space="preserve"> or more ministries</w:t>
      </w:r>
      <w:r>
        <w:rPr>
          <w:rFonts w:eastAsiaTheme="minorHAnsi" w:cstheme="minorHAnsi"/>
          <w:lang w:val="en-US" w:eastAsia="en-US"/>
        </w:rPr>
        <w:t xml:space="preserve"> or</w:t>
      </w:r>
      <w:r w:rsidR="00967BFE" w:rsidRPr="00430C7D">
        <w:rPr>
          <w:rFonts w:eastAsiaTheme="minorHAnsi" w:cstheme="minorHAnsi"/>
          <w:lang w:val="en-US" w:eastAsia="en-US"/>
        </w:rPr>
        <w:t xml:space="preserve"> an ownership entity</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specifically created to oversee SOEs</w:t>
      </w:r>
      <w:r w:rsidR="006012FC">
        <w:rPr>
          <w:rFonts w:eastAsiaTheme="minorHAnsi" w:cstheme="minorHAnsi"/>
          <w:lang w:val="en-US" w:eastAsia="en-US"/>
        </w:rPr>
        <w:t xml:space="preserve"> or</w:t>
      </w:r>
      <w:r w:rsidR="00967BFE" w:rsidRPr="00430C7D">
        <w:rPr>
          <w:rFonts w:eastAsiaTheme="minorHAnsi" w:cstheme="minorHAnsi"/>
          <w:lang w:val="en-US" w:eastAsia="en-US"/>
        </w:rPr>
        <w:t xml:space="preserve"> the Parliament,</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or some combination</w:t>
      </w:r>
      <w:r w:rsidR="001A7D00">
        <w:rPr>
          <w:rFonts w:eastAsiaTheme="minorHAnsi" w:cstheme="minorHAnsi"/>
          <w:lang w:val="en-US" w:eastAsia="en-US"/>
        </w:rPr>
        <w:t xml:space="preserve"> of these</w:t>
      </w:r>
      <w:r w:rsidR="00967BFE" w:rsidRPr="00430C7D">
        <w:rPr>
          <w:rFonts w:eastAsiaTheme="minorHAnsi" w:cstheme="minorHAnsi"/>
          <w:lang w:val="en-US" w:eastAsia="en-US"/>
        </w:rPr>
        <w:t xml:space="preserve">. </w:t>
      </w:r>
      <w:r w:rsidR="001A7D00">
        <w:rPr>
          <w:rFonts w:eastAsiaTheme="minorHAnsi" w:cstheme="minorHAnsi"/>
          <w:lang w:val="en-US" w:eastAsia="en-US"/>
        </w:rPr>
        <w:t>In the worst case situation,</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these various authorities may use SOEs to achieve</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short-term political goals at the cost of both efficiency</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and longer-term policy objectives. Even without</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 xml:space="preserve">flagrant abuse, </w:t>
      </w:r>
      <w:r w:rsidR="00967BFE" w:rsidRPr="006012FC">
        <w:rPr>
          <w:rFonts w:eastAsiaTheme="minorHAnsi" w:cstheme="minorHAnsi"/>
          <w:lang w:val="en-US" w:eastAsia="en-US"/>
        </w:rPr>
        <w:t xml:space="preserve">this </w:t>
      </w:r>
      <w:r w:rsidR="00967BFE" w:rsidRPr="006012FC">
        <w:rPr>
          <w:rFonts w:eastAsiaTheme="minorHAnsi" w:cstheme="minorHAnsi"/>
          <w:iCs/>
          <w:lang w:val="en-US" w:eastAsia="en-US"/>
        </w:rPr>
        <w:t>complex agency chain</w:t>
      </w:r>
      <w:r w:rsidR="00967BFE" w:rsidRPr="00430C7D">
        <w:rPr>
          <w:rFonts w:eastAsiaTheme="minorHAnsi" w:cstheme="minorHAnsi"/>
          <w:i/>
          <w:iCs/>
          <w:lang w:val="en-US" w:eastAsia="en-US"/>
        </w:rPr>
        <w:t xml:space="preserve"> </w:t>
      </w:r>
      <w:r w:rsidR="00967BFE" w:rsidRPr="00430C7D">
        <w:rPr>
          <w:rFonts w:eastAsiaTheme="minorHAnsi" w:cstheme="minorHAnsi"/>
          <w:lang w:val="en-US" w:eastAsia="en-US"/>
        </w:rPr>
        <w:t>through and</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across various levels of the government may present</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difficulties</w:t>
      </w:r>
      <w:r w:rsidR="001A7D00">
        <w:rPr>
          <w:rFonts w:eastAsiaTheme="minorHAnsi" w:cstheme="minorHAnsi"/>
          <w:lang w:val="en-US" w:eastAsia="en-US"/>
        </w:rPr>
        <w:t xml:space="preserve">, which would be absent </w:t>
      </w:r>
      <w:r w:rsidR="00967BFE" w:rsidRPr="00430C7D">
        <w:rPr>
          <w:rFonts w:eastAsiaTheme="minorHAnsi" w:cstheme="minorHAnsi"/>
          <w:lang w:val="en-US" w:eastAsia="en-US"/>
        </w:rPr>
        <w:t xml:space="preserve">in </w:t>
      </w:r>
      <w:r w:rsidR="001A7D00">
        <w:rPr>
          <w:rFonts w:eastAsiaTheme="minorHAnsi" w:cstheme="minorHAnsi"/>
          <w:lang w:val="en-US" w:eastAsia="en-US"/>
        </w:rPr>
        <w:t>a</w:t>
      </w:r>
      <w:r w:rsidR="00967BFE" w:rsidRPr="00430C7D">
        <w:rPr>
          <w:rFonts w:eastAsiaTheme="minorHAnsi" w:cstheme="minorHAnsi"/>
          <w:lang w:val="en-US" w:eastAsia="en-US"/>
        </w:rPr>
        <w:t xml:space="preserve"> more straightforward</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relationship between a company’s board and managers</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on the one hand and its shareholders on the</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othe</w:t>
      </w:r>
      <w:r w:rsidR="001A7D00">
        <w:rPr>
          <w:rFonts w:eastAsiaTheme="minorHAnsi" w:cstheme="minorHAnsi"/>
          <w:lang w:val="en-US" w:eastAsia="en-US"/>
        </w:rPr>
        <w:t>r,</w:t>
      </w:r>
      <w:r w:rsidR="00967BFE" w:rsidRPr="00430C7D">
        <w:rPr>
          <w:rFonts w:eastAsiaTheme="minorHAnsi" w:cstheme="minorHAnsi"/>
          <w:lang w:val="en-US" w:eastAsia="en-US"/>
        </w:rPr>
        <w:t xml:space="preserve"> </w:t>
      </w:r>
      <w:r w:rsidR="006012FC">
        <w:rPr>
          <w:rFonts w:eastAsiaTheme="minorHAnsi" w:cstheme="minorHAnsi"/>
          <w:lang w:val="en-US" w:eastAsia="en-US"/>
        </w:rPr>
        <w:t>and lead to significant governance challenges.</w:t>
      </w:r>
      <w:r w:rsidR="006012FC" w:rsidRPr="006012FC">
        <w:rPr>
          <w:rFonts w:eastAsiaTheme="minorHAnsi" w:cstheme="minorHAnsi"/>
          <w:lang w:val="en-US" w:eastAsia="en-US"/>
        </w:rPr>
        <w:t xml:space="preserve"> </w:t>
      </w:r>
      <w:r w:rsidR="006012FC" w:rsidRPr="00430C7D">
        <w:rPr>
          <w:rFonts w:eastAsiaTheme="minorHAnsi" w:cstheme="minorHAnsi"/>
          <w:lang w:val="en-US" w:eastAsia="en-US"/>
        </w:rPr>
        <w:t xml:space="preserve"> Th</w:t>
      </w:r>
      <w:r w:rsidR="001A7D00">
        <w:rPr>
          <w:rFonts w:eastAsiaTheme="minorHAnsi" w:cstheme="minorHAnsi"/>
          <w:lang w:val="en-US" w:eastAsia="en-US"/>
        </w:rPr>
        <w:t>is would also lead to a</w:t>
      </w:r>
      <w:r w:rsidR="006012FC" w:rsidRPr="00430C7D">
        <w:rPr>
          <w:rFonts w:eastAsiaTheme="minorHAnsi" w:cstheme="minorHAnsi"/>
          <w:lang w:val="en-US" w:eastAsia="en-US"/>
        </w:rPr>
        <w:t xml:space="preserve"> dilution of accountability</w:t>
      </w:r>
      <w:r w:rsidR="006012FC">
        <w:rPr>
          <w:rFonts w:eastAsiaTheme="minorHAnsi" w:cstheme="minorHAnsi"/>
          <w:lang w:val="en-US" w:eastAsia="en-US"/>
        </w:rPr>
        <w:t xml:space="preserve"> in the SOE; it is also pertinent to point out that </w:t>
      </w:r>
      <w:r w:rsidR="006012FC" w:rsidRPr="00430C7D">
        <w:rPr>
          <w:rFonts w:eastAsiaTheme="minorHAnsi" w:cstheme="minorHAnsi"/>
          <w:lang w:val="en-US" w:eastAsia="en-US"/>
        </w:rPr>
        <w:t xml:space="preserve">SOEs may suffer </w:t>
      </w:r>
      <w:r w:rsidR="001A7D00">
        <w:rPr>
          <w:rFonts w:eastAsiaTheme="minorHAnsi" w:cstheme="minorHAnsi"/>
          <w:lang w:val="en-US" w:eastAsia="en-US"/>
        </w:rPr>
        <w:t>equally</w:t>
      </w:r>
      <w:r w:rsidR="006012FC" w:rsidRPr="00430C7D">
        <w:rPr>
          <w:rFonts w:eastAsiaTheme="minorHAnsi" w:cstheme="minorHAnsi"/>
          <w:lang w:val="en-US" w:eastAsia="en-US"/>
        </w:rPr>
        <w:t xml:space="preserve"> from undue hands-on and politically motivated ownership interference as from</w:t>
      </w:r>
      <w:r w:rsidR="001A7D00">
        <w:rPr>
          <w:rFonts w:eastAsiaTheme="minorHAnsi" w:cstheme="minorHAnsi"/>
          <w:lang w:val="en-US" w:eastAsia="en-US"/>
        </w:rPr>
        <w:t xml:space="preserve"> a</w:t>
      </w:r>
      <w:r w:rsidR="006012FC" w:rsidRPr="00430C7D">
        <w:rPr>
          <w:rFonts w:eastAsiaTheme="minorHAnsi" w:cstheme="minorHAnsi"/>
          <w:lang w:val="en-US" w:eastAsia="en-US"/>
        </w:rPr>
        <w:t xml:space="preserve"> totally passive or distant ownership by the state. </w:t>
      </w:r>
    </w:p>
    <w:p w:rsidR="001A7D00" w:rsidRDefault="006012FC" w:rsidP="00877E7A">
      <w:pPr>
        <w:autoSpaceDE w:val="0"/>
        <w:autoSpaceDN w:val="0"/>
        <w:adjustRightInd w:val="0"/>
        <w:rPr>
          <w:rFonts w:eastAsiaTheme="minorHAnsi" w:cstheme="minorHAnsi"/>
          <w:lang w:val="en-US" w:eastAsia="en-US"/>
        </w:rPr>
      </w:pPr>
      <w:r>
        <w:rPr>
          <w:rFonts w:eastAsiaTheme="minorHAnsi" w:cstheme="minorHAnsi"/>
          <w:lang w:val="en-US" w:eastAsia="en-US"/>
        </w:rPr>
        <w:t>Thirdly, g</w:t>
      </w:r>
      <w:r w:rsidRPr="00430C7D">
        <w:rPr>
          <w:rFonts w:eastAsiaTheme="minorHAnsi" w:cstheme="minorHAnsi"/>
          <w:lang w:val="en-US" w:eastAsia="en-US"/>
        </w:rPr>
        <w:t>iven that each relevant part of the government has somewhat different objectives, each could attempt to influence the SOE accordingly</w:t>
      </w:r>
      <w:r>
        <w:rPr>
          <w:rFonts w:eastAsiaTheme="minorHAnsi" w:cstheme="minorHAnsi"/>
          <w:lang w:val="en-US" w:eastAsia="en-US"/>
        </w:rPr>
        <w:t xml:space="preserve"> so the </w:t>
      </w:r>
      <w:r w:rsidRPr="00430C7D">
        <w:rPr>
          <w:rFonts w:eastAsiaTheme="minorHAnsi" w:cstheme="minorHAnsi"/>
          <w:lang w:val="en-US" w:eastAsia="en-US"/>
        </w:rPr>
        <w:t>SOEs</w:t>
      </w:r>
      <w:r w:rsidR="00967BFE" w:rsidRPr="00430C7D">
        <w:rPr>
          <w:rFonts w:eastAsiaTheme="minorHAnsi" w:cstheme="minorHAnsi"/>
          <w:lang w:val="en-US" w:eastAsia="en-US"/>
        </w:rPr>
        <w:t xml:space="preserve"> also have the problem of </w:t>
      </w:r>
      <w:r w:rsidR="00967BFE" w:rsidRPr="00F321EF">
        <w:rPr>
          <w:rFonts w:eastAsiaTheme="minorHAnsi" w:cstheme="minorHAnsi"/>
          <w:iCs/>
          <w:lang w:val="en-US" w:eastAsia="en-US"/>
        </w:rPr>
        <w:t>common</w:t>
      </w:r>
      <w:r w:rsidR="00E25F03" w:rsidRPr="00F321EF">
        <w:rPr>
          <w:rFonts w:eastAsiaTheme="minorHAnsi" w:cstheme="minorHAnsi"/>
          <w:iCs/>
          <w:lang w:val="en-US" w:eastAsia="en-US"/>
        </w:rPr>
        <w:t xml:space="preserve"> </w:t>
      </w:r>
      <w:r w:rsidR="00967BFE" w:rsidRPr="00F321EF">
        <w:rPr>
          <w:rFonts w:eastAsiaTheme="minorHAnsi" w:cstheme="minorHAnsi"/>
          <w:iCs/>
          <w:lang w:val="en-US" w:eastAsia="en-US"/>
        </w:rPr>
        <w:t>agency</w:t>
      </w:r>
      <w:r w:rsidR="00F321EF" w:rsidRPr="00F321EF">
        <w:rPr>
          <w:rFonts w:eastAsiaTheme="minorHAnsi" w:cstheme="minorHAnsi"/>
          <w:lang w:val="en-US" w:eastAsia="en-US"/>
        </w:rPr>
        <w:t>.</w:t>
      </w:r>
      <w:r w:rsidR="00967BFE" w:rsidRPr="00430C7D">
        <w:rPr>
          <w:rFonts w:eastAsiaTheme="minorHAnsi" w:cstheme="minorHAnsi"/>
          <w:lang w:val="en-US" w:eastAsia="en-US"/>
        </w:rPr>
        <w:t xml:space="preserve"> Even if the</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various objectives are perfectly legitimate, the overall</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impact of this competition for influence reduces</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accountability and weakens the incentives for managers</w:t>
      </w:r>
      <w:r w:rsidR="00E25F03" w:rsidRPr="00430C7D">
        <w:rPr>
          <w:rFonts w:eastAsiaTheme="minorHAnsi" w:cstheme="minorHAnsi"/>
          <w:lang w:val="en-US" w:eastAsia="en-US"/>
        </w:rPr>
        <w:t xml:space="preserve"> </w:t>
      </w:r>
      <w:r w:rsidR="00967BFE" w:rsidRPr="00430C7D">
        <w:rPr>
          <w:rFonts w:eastAsiaTheme="minorHAnsi" w:cstheme="minorHAnsi"/>
          <w:lang w:val="en-US" w:eastAsia="en-US"/>
        </w:rPr>
        <w:t xml:space="preserve">and board </w:t>
      </w:r>
      <w:r w:rsidRPr="00430C7D">
        <w:rPr>
          <w:rFonts w:eastAsiaTheme="minorHAnsi" w:cstheme="minorHAnsi"/>
          <w:lang w:val="en-US" w:eastAsia="en-US"/>
        </w:rPr>
        <w:t>members.</w:t>
      </w:r>
    </w:p>
    <w:p w:rsidR="00967BFE" w:rsidRPr="00430C7D" w:rsidRDefault="00967BFE" w:rsidP="00877E7A">
      <w:pPr>
        <w:autoSpaceDE w:val="0"/>
        <w:autoSpaceDN w:val="0"/>
        <w:adjustRightInd w:val="0"/>
        <w:rPr>
          <w:rFonts w:eastAsiaTheme="minorHAnsi" w:cstheme="minorHAnsi"/>
          <w:lang w:val="en-US" w:eastAsia="en-US"/>
        </w:rPr>
      </w:pPr>
      <w:r w:rsidRPr="00430C7D">
        <w:rPr>
          <w:rFonts w:eastAsiaTheme="minorHAnsi" w:cstheme="minorHAnsi"/>
          <w:lang w:val="en-US" w:eastAsia="en-US"/>
        </w:rPr>
        <w:t xml:space="preserve"> Managing</w:t>
      </w:r>
      <w:r w:rsidR="00E25F03" w:rsidRPr="00430C7D">
        <w:rPr>
          <w:rFonts w:eastAsiaTheme="minorHAnsi" w:cstheme="minorHAnsi"/>
          <w:lang w:val="en-US" w:eastAsia="en-US"/>
        </w:rPr>
        <w:t xml:space="preserve"> </w:t>
      </w:r>
      <w:r w:rsidRPr="00430C7D">
        <w:rPr>
          <w:rFonts w:eastAsiaTheme="minorHAnsi" w:cstheme="minorHAnsi"/>
          <w:lang w:val="en-US" w:eastAsia="en-US"/>
        </w:rPr>
        <w:t>multiple and potentially conflicting objectives</w:t>
      </w:r>
      <w:r w:rsidR="00923E5F">
        <w:rPr>
          <w:rFonts w:eastAsiaTheme="minorHAnsi" w:cstheme="minorHAnsi"/>
          <w:lang w:val="en-US" w:eastAsia="en-US"/>
        </w:rPr>
        <w:t>, therefore,</w:t>
      </w:r>
      <w:r w:rsidRPr="00430C7D">
        <w:rPr>
          <w:rFonts w:eastAsiaTheme="minorHAnsi" w:cstheme="minorHAnsi"/>
          <w:lang w:val="en-US" w:eastAsia="en-US"/>
        </w:rPr>
        <w:t xml:space="preserve"> </w:t>
      </w:r>
      <w:r w:rsidR="001A7D00" w:rsidRPr="00430C7D">
        <w:rPr>
          <w:rFonts w:eastAsiaTheme="minorHAnsi" w:cstheme="minorHAnsi"/>
          <w:lang w:val="en-US" w:eastAsia="en-US"/>
        </w:rPr>
        <w:t>is the</w:t>
      </w:r>
      <w:r w:rsidRPr="00430C7D">
        <w:rPr>
          <w:rFonts w:eastAsiaTheme="minorHAnsi" w:cstheme="minorHAnsi"/>
          <w:lang w:val="en-US" w:eastAsia="en-US"/>
        </w:rPr>
        <w:t xml:space="preserve"> </w:t>
      </w:r>
      <w:r w:rsidR="00F321EF">
        <w:rPr>
          <w:rFonts w:eastAsiaTheme="minorHAnsi" w:cstheme="minorHAnsi"/>
          <w:lang w:val="en-US" w:eastAsia="en-US"/>
        </w:rPr>
        <w:t>key</w:t>
      </w:r>
      <w:r w:rsidRPr="00430C7D">
        <w:rPr>
          <w:rFonts w:eastAsiaTheme="minorHAnsi" w:cstheme="minorHAnsi"/>
          <w:lang w:val="en-US" w:eastAsia="en-US"/>
        </w:rPr>
        <w:t xml:space="preserve"> challenge in the governance of SOEs.</w:t>
      </w:r>
    </w:p>
    <w:p w:rsidR="00B070C2" w:rsidRDefault="00F321EF" w:rsidP="00877E7A">
      <w:r>
        <w:rPr>
          <w:rFonts w:eastAsiaTheme="minorHAnsi" w:cstheme="minorHAnsi"/>
          <w:lang w:val="en-US" w:eastAsia="en-US"/>
        </w:rPr>
        <w:t>Recognizing that the</w:t>
      </w:r>
      <w:r w:rsidR="001A7D00">
        <w:rPr>
          <w:rFonts w:eastAsiaTheme="minorHAnsi" w:cstheme="minorHAnsi"/>
          <w:lang w:val="en-US" w:eastAsia="en-US"/>
        </w:rPr>
        <w:t>re are</w:t>
      </w:r>
      <w:r>
        <w:rPr>
          <w:rFonts w:eastAsiaTheme="minorHAnsi" w:cstheme="minorHAnsi"/>
          <w:lang w:val="en-US" w:eastAsia="en-US"/>
        </w:rPr>
        <w:t xml:space="preserve"> specific governance challenges that arise in SOEs</w:t>
      </w:r>
      <w:r w:rsidR="00F737D4">
        <w:rPr>
          <w:rFonts w:eastAsiaTheme="minorHAnsi" w:cstheme="minorHAnsi"/>
          <w:lang w:val="en-US" w:eastAsia="en-US"/>
        </w:rPr>
        <w:t xml:space="preserve"> as compared to normal organizations</w:t>
      </w:r>
      <w:r>
        <w:rPr>
          <w:rFonts w:eastAsiaTheme="minorHAnsi" w:cstheme="minorHAnsi"/>
          <w:lang w:val="en-US" w:eastAsia="en-US"/>
        </w:rPr>
        <w:t>, and given the fact that in several countries (including India)</w:t>
      </w:r>
      <w:r w:rsidRPr="00F321EF">
        <w:rPr>
          <w:rFonts w:eastAsiaTheme="minorHAnsi" w:cstheme="minorHAnsi"/>
          <w:lang w:val="en-US" w:eastAsia="en-US"/>
        </w:rPr>
        <w:t>,</w:t>
      </w:r>
      <w:r>
        <w:rPr>
          <w:rFonts w:eastAsiaTheme="minorHAnsi" w:cstheme="minorHAnsi"/>
          <w:lang w:val="en-US" w:eastAsia="en-US"/>
        </w:rPr>
        <w:t xml:space="preserve"> SOEs </w:t>
      </w:r>
      <w:r w:rsidRPr="00F321EF">
        <w:rPr>
          <w:rFonts w:eastAsiaTheme="minorHAnsi" w:cstheme="minorHAnsi"/>
          <w:lang w:val="en-US" w:eastAsia="en-US"/>
        </w:rPr>
        <w:t>represent a</w:t>
      </w:r>
      <w:r>
        <w:rPr>
          <w:rFonts w:eastAsiaTheme="minorHAnsi" w:cstheme="minorHAnsi"/>
          <w:lang w:val="en-US" w:eastAsia="en-US"/>
        </w:rPr>
        <w:t xml:space="preserve"> </w:t>
      </w:r>
      <w:r w:rsidRPr="00F321EF">
        <w:rPr>
          <w:rFonts w:eastAsiaTheme="minorHAnsi" w:cstheme="minorHAnsi"/>
          <w:lang w:val="en-US" w:eastAsia="en-US"/>
        </w:rPr>
        <w:t>substantial part of GDP</w:t>
      </w:r>
      <w:r>
        <w:rPr>
          <w:rFonts w:eastAsiaTheme="minorHAnsi" w:cstheme="minorHAnsi"/>
          <w:lang w:val="en-US" w:eastAsia="en-US"/>
        </w:rPr>
        <w:t>,</w:t>
      </w:r>
      <w:r w:rsidRPr="00F321EF">
        <w:rPr>
          <w:rFonts w:eastAsiaTheme="minorHAnsi" w:cstheme="minorHAnsi"/>
          <w:lang w:val="en-US" w:eastAsia="en-US"/>
        </w:rPr>
        <w:t xml:space="preserve"> employment and market capitalization</w:t>
      </w:r>
      <w:r>
        <w:rPr>
          <w:rFonts w:eastAsiaTheme="minorHAnsi" w:cstheme="minorHAnsi"/>
          <w:lang w:val="en-US" w:eastAsia="en-US"/>
        </w:rPr>
        <w:t xml:space="preserve"> with </w:t>
      </w:r>
      <w:r w:rsidR="001D0092">
        <w:rPr>
          <w:rFonts w:eastAsiaTheme="minorHAnsi" w:cstheme="minorHAnsi"/>
          <w:lang w:val="en-US" w:eastAsia="en-US"/>
        </w:rPr>
        <w:t xml:space="preserve">presence </w:t>
      </w:r>
      <w:r w:rsidR="001D0092" w:rsidRPr="00F321EF">
        <w:rPr>
          <w:rFonts w:eastAsiaTheme="minorHAnsi" w:cstheme="minorHAnsi"/>
          <w:lang w:val="en-US" w:eastAsia="en-US"/>
        </w:rPr>
        <w:t>in</w:t>
      </w:r>
      <w:r w:rsidRPr="00F321EF">
        <w:rPr>
          <w:rFonts w:eastAsiaTheme="minorHAnsi" w:cstheme="minorHAnsi"/>
          <w:lang w:val="en-US" w:eastAsia="en-US"/>
        </w:rPr>
        <w:t xml:space="preserve"> utilities and infrastructure</w:t>
      </w:r>
      <w:r>
        <w:rPr>
          <w:rFonts w:eastAsiaTheme="minorHAnsi" w:cstheme="minorHAnsi"/>
          <w:lang w:val="en-US" w:eastAsia="en-US"/>
        </w:rPr>
        <w:t xml:space="preserve"> </w:t>
      </w:r>
      <w:r w:rsidR="001D0092" w:rsidRPr="00F321EF">
        <w:rPr>
          <w:rFonts w:eastAsiaTheme="minorHAnsi" w:cstheme="minorHAnsi"/>
          <w:lang w:val="en-US" w:eastAsia="en-US"/>
        </w:rPr>
        <w:t>industries</w:t>
      </w:r>
      <w:r w:rsidR="001D0092">
        <w:rPr>
          <w:rFonts w:eastAsiaTheme="minorHAnsi" w:cstheme="minorHAnsi"/>
          <w:lang w:val="en-US" w:eastAsia="en-US"/>
        </w:rPr>
        <w:t xml:space="preserve"> </w:t>
      </w:r>
      <w:r w:rsidR="001D0092" w:rsidRPr="00F321EF">
        <w:rPr>
          <w:rFonts w:eastAsiaTheme="minorHAnsi" w:cstheme="minorHAnsi"/>
          <w:lang w:val="en-US" w:eastAsia="en-US"/>
        </w:rPr>
        <w:t>whose</w:t>
      </w:r>
      <w:r>
        <w:rPr>
          <w:rFonts w:eastAsiaTheme="minorHAnsi" w:cstheme="minorHAnsi"/>
          <w:lang w:val="en-US" w:eastAsia="en-US"/>
        </w:rPr>
        <w:t xml:space="preserve"> </w:t>
      </w:r>
      <w:r w:rsidRPr="00F321EF">
        <w:rPr>
          <w:rFonts w:eastAsiaTheme="minorHAnsi" w:cstheme="minorHAnsi"/>
          <w:lang w:val="en-US" w:eastAsia="en-US"/>
        </w:rPr>
        <w:t>performance is of great importance to broad segments of the population and</w:t>
      </w:r>
      <w:r>
        <w:rPr>
          <w:rFonts w:eastAsiaTheme="minorHAnsi" w:cstheme="minorHAnsi"/>
          <w:lang w:val="en-US" w:eastAsia="en-US"/>
        </w:rPr>
        <w:t xml:space="preserve"> </w:t>
      </w:r>
      <w:r w:rsidRPr="00F321EF">
        <w:rPr>
          <w:rFonts w:eastAsiaTheme="minorHAnsi" w:cstheme="minorHAnsi"/>
          <w:lang w:val="en-US" w:eastAsia="en-US"/>
        </w:rPr>
        <w:t>to other parts of the business sector</w:t>
      </w:r>
      <w:r w:rsidR="001D0092">
        <w:rPr>
          <w:rFonts w:eastAsiaTheme="minorHAnsi" w:cstheme="minorHAnsi"/>
          <w:lang w:val="en-US" w:eastAsia="en-US"/>
        </w:rPr>
        <w:t xml:space="preserve">, </w:t>
      </w:r>
      <w:r w:rsidR="001D0092" w:rsidRPr="00F321EF">
        <w:rPr>
          <w:rFonts w:eastAsiaTheme="minorHAnsi" w:cstheme="minorHAnsi"/>
          <w:lang w:val="en-US" w:eastAsia="en-US"/>
        </w:rPr>
        <w:t>OECD</w:t>
      </w:r>
      <w:r w:rsidR="001D0092">
        <w:rPr>
          <w:rFonts w:eastAsiaTheme="minorHAnsi" w:cstheme="minorHAnsi"/>
          <w:lang w:val="en-US" w:eastAsia="en-US"/>
        </w:rPr>
        <w:t xml:space="preserve"> formulated</w:t>
      </w:r>
      <w:r>
        <w:rPr>
          <w:rFonts w:eastAsiaTheme="minorHAnsi" w:cstheme="minorHAnsi"/>
          <w:lang w:val="en-US" w:eastAsia="en-US"/>
        </w:rPr>
        <w:t xml:space="preserve"> a set of non-binding prescriptions to improve governance in SOEs</w:t>
      </w:r>
      <w:r w:rsidR="001D0092">
        <w:rPr>
          <w:rStyle w:val="FootnoteReference"/>
          <w:rFonts w:eastAsiaTheme="minorHAnsi" w:cstheme="minorHAnsi"/>
          <w:lang w:val="en-US" w:eastAsia="en-US"/>
        </w:rPr>
        <w:footnoteReference w:id="29"/>
      </w:r>
      <w:r>
        <w:rPr>
          <w:rFonts w:eastAsiaTheme="minorHAnsi" w:cstheme="minorHAnsi"/>
          <w:lang w:val="en-US" w:eastAsia="en-US"/>
        </w:rPr>
        <w:t>.</w:t>
      </w:r>
      <w:r w:rsidR="001D0092">
        <w:rPr>
          <w:rFonts w:eastAsiaTheme="minorHAnsi" w:cstheme="minorHAnsi"/>
          <w:lang w:val="en-US" w:eastAsia="en-US"/>
        </w:rPr>
        <w:t xml:space="preserve"> T</w:t>
      </w:r>
      <w:r w:rsidR="00E5675B" w:rsidRPr="00E5675B">
        <w:rPr>
          <w:lang w:val="en-US"/>
        </w:rPr>
        <w:t xml:space="preserve">hese Guidelines </w:t>
      </w:r>
      <w:r w:rsidR="00361524">
        <w:rPr>
          <w:lang w:val="en-US"/>
        </w:rPr>
        <w:t>are complementary</w:t>
      </w:r>
      <w:r w:rsidR="00E5675B" w:rsidRPr="00E5675B">
        <w:rPr>
          <w:lang w:val="en-US"/>
        </w:rPr>
        <w:t xml:space="preserve"> to the OECD</w:t>
      </w:r>
      <w:r w:rsidR="00E5675B">
        <w:rPr>
          <w:lang w:val="en-US"/>
        </w:rPr>
        <w:t xml:space="preserve"> </w:t>
      </w:r>
      <w:r w:rsidR="00E5675B" w:rsidRPr="00E5675B">
        <w:rPr>
          <w:lang w:val="en-US"/>
        </w:rPr>
        <w:t>Principles of Corporate Governance</w:t>
      </w:r>
      <w:r w:rsidR="00361524">
        <w:rPr>
          <w:lang w:val="en-US"/>
        </w:rPr>
        <w:t>,</w:t>
      </w:r>
      <w:r w:rsidR="00E5675B" w:rsidRPr="00E5675B">
        <w:rPr>
          <w:lang w:val="en-US"/>
        </w:rPr>
        <w:t xml:space="preserve"> on which they are based</w:t>
      </w:r>
      <w:r w:rsidR="00361524">
        <w:rPr>
          <w:lang w:val="en-US"/>
        </w:rPr>
        <w:t>,</w:t>
      </w:r>
      <w:r w:rsidR="00E5675B" w:rsidRPr="00E5675B">
        <w:rPr>
          <w:lang w:val="en-US"/>
        </w:rPr>
        <w:t xml:space="preserve"> and with which</w:t>
      </w:r>
      <w:r w:rsidR="00E5675B">
        <w:rPr>
          <w:lang w:val="en-US"/>
        </w:rPr>
        <w:t xml:space="preserve"> </w:t>
      </w:r>
      <w:r w:rsidR="00E5675B" w:rsidRPr="00E5675B">
        <w:rPr>
          <w:lang w:val="en-US"/>
        </w:rPr>
        <w:t>they are fully compatible.</w:t>
      </w:r>
    </w:p>
    <w:p w:rsidR="001D0092" w:rsidRDefault="001D0092" w:rsidP="00877E7A">
      <w:pPr>
        <w:autoSpaceDE w:val="0"/>
        <w:autoSpaceDN w:val="0"/>
        <w:adjustRightInd w:val="0"/>
        <w:rPr>
          <w:rFonts w:eastAsiaTheme="minorHAnsi" w:cstheme="minorHAnsi"/>
          <w:lang w:val="en-US" w:eastAsia="en-US"/>
        </w:rPr>
      </w:pPr>
      <w:r>
        <w:rPr>
          <w:rFonts w:eastAsiaTheme="minorHAnsi" w:cstheme="minorHAnsi"/>
          <w:lang w:val="en-US" w:eastAsia="en-US"/>
        </w:rPr>
        <w:lastRenderedPageBreak/>
        <w:t>Equitable treatment of shareholders in accordance with the OECD principles of corporate governance</w:t>
      </w:r>
      <w:r w:rsidR="00310C55">
        <w:rPr>
          <w:rFonts w:eastAsiaTheme="minorHAnsi" w:cstheme="minorHAnsi"/>
          <w:lang w:val="en-US" w:eastAsia="en-US"/>
        </w:rPr>
        <w:t xml:space="preserve"> provides the base for</w:t>
      </w:r>
      <w:r>
        <w:rPr>
          <w:rFonts w:eastAsiaTheme="minorHAnsi" w:cstheme="minorHAnsi"/>
          <w:lang w:val="en-US" w:eastAsia="en-US"/>
        </w:rPr>
        <w:t xml:space="preserve"> the</w:t>
      </w:r>
      <w:r w:rsidR="001A7D00">
        <w:rPr>
          <w:rFonts w:eastAsiaTheme="minorHAnsi" w:cstheme="minorHAnsi"/>
          <w:lang w:val="en-US" w:eastAsia="en-US"/>
        </w:rPr>
        <w:t xml:space="preserve"> OECD</w:t>
      </w:r>
      <w:r>
        <w:rPr>
          <w:rFonts w:eastAsiaTheme="minorHAnsi" w:cstheme="minorHAnsi"/>
          <w:lang w:val="en-US" w:eastAsia="en-US"/>
        </w:rPr>
        <w:t xml:space="preserve"> guidelines</w:t>
      </w:r>
      <w:r w:rsidR="00A4374F">
        <w:rPr>
          <w:rFonts w:eastAsiaTheme="minorHAnsi" w:cstheme="minorHAnsi"/>
          <w:lang w:val="en-US" w:eastAsia="en-US"/>
        </w:rPr>
        <w:t xml:space="preserve"> for</w:t>
      </w:r>
      <w:r w:rsidR="001A7D00">
        <w:rPr>
          <w:rFonts w:eastAsiaTheme="minorHAnsi" w:cstheme="minorHAnsi"/>
          <w:lang w:val="en-US" w:eastAsia="en-US"/>
        </w:rPr>
        <w:t xml:space="preserve"> corporate governance in</w:t>
      </w:r>
      <w:r w:rsidR="00A4374F">
        <w:rPr>
          <w:rFonts w:eastAsiaTheme="minorHAnsi" w:cstheme="minorHAnsi"/>
          <w:lang w:val="en-US" w:eastAsia="en-US"/>
        </w:rPr>
        <w:t xml:space="preserve"> SOEs</w:t>
      </w:r>
      <w:r>
        <w:rPr>
          <w:rStyle w:val="FootnoteReference"/>
          <w:rFonts w:eastAsiaTheme="minorHAnsi" w:cstheme="minorHAnsi"/>
          <w:lang w:val="en-US" w:eastAsia="en-US"/>
        </w:rPr>
        <w:footnoteReference w:id="30"/>
      </w:r>
      <w:r>
        <w:rPr>
          <w:rFonts w:eastAsiaTheme="minorHAnsi" w:cstheme="minorHAnsi"/>
          <w:lang w:val="en-US" w:eastAsia="en-US"/>
        </w:rPr>
        <w:t>.</w:t>
      </w:r>
      <w:r w:rsidR="00A4374F">
        <w:rPr>
          <w:rFonts w:eastAsiaTheme="minorHAnsi" w:cstheme="minorHAnsi"/>
          <w:lang w:val="en-US" w:eastAsia="en-US"/>
        </w:rPr>
        <w:t xml:space="preserve"> </w:t>
      </w:r>
      <w:r w:rsidR="005F45F5">
        <w:rPr>
          <w:rFonts w:eastAsiaTheme="minorHAnsi" w:cstheme="minorHAnsi"/>
          <w:lang w:val="en-US" w:eastAsia="en-US"/>
        </w:rPr>
        <w:t xml:space="preserve"> According to OECD, i</w:t>
      </w:r>
      <w:r w:rsidR="005F45F5" w:rsidRPr="005F45F5">
        <w:rPr>
          <w:rFonts w:eastAsiaTheme="minorHAnsi" w:cstheme="minorHAnsi"/>
          <w:lang w:val="en-US" w:eastAsia="en-US"/>
        </w:rPr>
        <w:t>t is in the state’s interest to ensure that, in all enterprises where it has a</w:t>
      </w:r>
      <w:r w:rsidR="005F45F5">
        <w:rPr>
          <w:rFonts w:eastAsiaTheme="minorHAnsi" w:cstheme="minorHAnsi"/>
          <w:lang w:val="en-US" w:eastAsia="en-US"/>
        </w:rPr>
        <w:t xml:space="preserve"> </w:t>
      </w:r>
      <w:r w:rsidR="005F45F5" w:rsidRPr="005F45F5">
        <w:rPr>
          <w:rFonts w:eastAsiaTheme="minorHAnsi" w:cstheme="minorHAnsi"/>
          <w:lang w:val="en-US" w:eastAsia="en-US"/>
        </w:rPr>
        <w:t xml:space="preserve">stake, </w:t>
      </w:r>
      <w:r w:rsidR="005F45F5">
        <w:rPr>
          <w:rFonts w:eastAsiaTheme="minorHAnsi" w:cstheme="minorHAnsi"/>
          <w:lang w:val="en-US" w:eastAsia="en-US"/>
        </w:rPr>
        <w:t xml:space="preserve">the </w:t>
      </w:r>
      <w:r w:rsidR="005F45F5" w:rsidRPr="005F45F5">
        <w:rPr>
          <w:rFonts w:eastAsiaTheme="minorHAnsi" w:cstheme="minorHAnsi"/>
          <w:lang w:val="en-US" w:eastAsia="en-US"/>
        </w:rPr>
        <w:t>minority shareholders are treated equitably, since its reputation in this</w:t>
      </w:r>
      <w:r w:rsidR="005F45F5">
        <w:rPr>
          <w:rFonts w:eastAsiaTheme="minorHAnsi" w:cstheme="minorHAnsi"/>
          <w:lang w:val="en-US" w:eastAsia="en-US"/>
        </w:rPr>
        <w:t xml:space="preserve"> </w:t>
      </w:r>
      <w:r w:rsidR="005F45F5" w:rsidRPr="005F45F5">
        <w:rPr>
          <w:rFonts w:eastAsiaTheme="minorHAnsi" w:cstheme="minorHAnsi"/>
          <w:lang w:val="en-US" w:eastAsia="en-US"/>
        </w:rPr>
        <w:t>respect will influence its capacity of attracting outside funding and the</w:t>
      </w:r>
      <w:r w:rsidR="005F45F5">
        <w:rPr>
          <w:rFonts w:eastAsiaTheme="minorHAnsi" w:cstheme="minorHAnsi"/>
          <w:lang w:val="en-US" w:eastAsia="en-US"/>
        </w:rPr>
        <w:t xml:space="preserve"> </w:t>
      </w:r>
      <w:r w:rsidR="005F45F5" w:rsidRPr="005F45F5">
        <w:rPr>
          <w:rFonts w:eastAsiaTheme="minorHAnsi" w:cstheme="minorHAnsi"/>
          <w:lang w:val="en-US" w:eastAsia="en-US"/>
        </w:rPr>
        <w:t>valuation of the company.</w:t>
      </w:r>
      <w:r w:rsidR="005F45F5">
        <w:rPr>
          <w:rFonts w:eastAsiaTheme="minorHAnsi" w:cstheme="minorHAnsi"/>
          <w:lang w:val="en-US" w:eastAsia="en-US"/>
        </w:rPr>
        <w:t xml:space="preserve"> The state</w:t>
      </w:r>
      <w:r w:rsidR="005F45F5" w:rsidRPr="005F45F5">
        <w:rPr>
          <w:rFonts w:eastAsiaTheme="minorHAnsi" w:cstheme="minorHAnsi"/>
          <w:lang w:val="en-US" w:eastAsia="en-US"/>
        </w:rPr>
        <w:t xml:space="preserve"> should therefore ensure that other shareholders</w:t>
      </w:r>
      <w:r w:rsidR="005F45F5">
        <w:rPr>
          <w:rFonts w:eastAsiaTheme="minorHAnsi" w:cstheme="minorHAnsi"/>
          <w:lang w:val="en-US" w:eastAsia="en-US"/>
        </w:rPr>
        <w:t xml:space="preserve"> </w:t>
      </w:r>
      <w:r w:rsidR="005F45F5" w:rsidRPr="005F45F5">
        <w:rPr>
          <w:rFonts w:eastAsiaTheme="minorHAnsi" w:cstheme="minorHAnsi"/>
          <w:lang w:val="en-US" w:eastAsia="en-US"/>
        </w:rPr>
        <w:t>do not perceive the state as an opaque, unpredictable and unfair owner</w:t>
      </w:r>
      <w:r w:rsidR="005F45F5">
        <w:rPr>
          <w:rFonts w:eastAsiaTheme="minorHAnsi" w:cstheme="minorHAnsi"/>
          <w:lang w:val="en-US" w:eastAsia="en-US"/>
        </w:rPr>
        <w:t xml:space="preserve"> but, on the contrary, it should</w:t>
      </w:r>
      <w:r w:rsidR="005F45F5" w:rsidRPr="005F45F5">
        <w:rPr>
          <w:rFonts w:eastAsiaTheme="minorHAnsi" w:cstheme="minorHAnsi"/>
          <w:lang w:val="en-US" w:eastAsia="en-US"/>
        </w:rPr>
        <w:t xml:space="preserve"> </w:t>
      </w:r>
      <w:r w:rsidR="005F45F5">
        <w:rPr>
          <w:rFonts w:eastAsiaTheme="minorHAnsi" w:cstheme="minorHAnsi"/>
          <w:lang w:val="en-US" w:eastAsia="en-US"/>
        </w:rPr>
        <w:t>follow</w:t>
      </w:r>
      <w:r w:rsidR="005F45F5" w:rsidRPr="005F45F5">
        <w:rPr>
          <w:rFonts w:eastAsiaTheme="minorHAnsi" w:cstheme="minorHAnsi"/>
          <w:lang w:val="en-US" w:eastAsia="en-US"/>
        </w:rPr>
        <w:t xml:space="preserve"> best</w:t>
      </w:r>
      <w:r w:rsidR="005F45F5">
        <w:rPr>
          <w:rFonts w:eastAsiaTheme="minorHAnsi" w:cstheme="minorHAnsi"/>
          <w:lang w:val="en-US" w:eastAsia="en-US"/>
        </w:rPr>
        <w:t xml:space="preserve"> </w:t>
      </w:r>
      <w:r w:rsidR="005F45F5" w:rsidRPr="005F45F5">
        <w:rPr>
          <w:rFonts w:eastAsiaTheme="minorHAnsi" w:cstheme="minorHAnsi"/>
          <w:lang w:val="en-US" w:eastAsia="en-US"/>
        </w:rPr>
        <w:t>practices regarding the treatment of minority shareholders.</w:t>
      </w:r>
    </w:p>
    <w:p w:rsidR="00361524" w:rsidRDefault="00361524" w:rsidP="00877E7A">
      <w:pPr>
        <w:pStyle w:val="Default"/>
        <w:spacing w:after="200" w:line="276" w:lineRule="auto"/>
        <w:rPr>
          <w:rFonts w:asciiTheme="minorHAnsi" w:hAnsiTheme="minorHAnsi" w:cstheme="minorHAnsi"/>
          <w:sz w:val="22"/>
          <w:szCs w:val="22"/>
        </w:rPr>
      </w:pPr>
      <w:r>
        <w:rPr>
          <w:rFonts w:asciiTheme="minorHAnsi" w:hAnsiTheme="minorHAnsi" w:cstheme="minorHAnsi"/>
          <w:sz w:val="22"/>
          <w:szCs w:val="22"/>
        </w:rPr>
        <w:t>C</w:t>
      </w:r>
      <w:r w:rsidR="00AC043C">
        <w:rPr>
          <w:rFonts w:asciiTheme="minorHAnsi" w:hAnsiTheme="minorHAnsi" w:cstheme="minorHAnsi"/>
          <w:sz w:val="22"/>
          <w:szCs w:val="22"/>
        </w:rPr>
        <w:t xml:space="preserve">onventionally, it </w:t>
      </w:r>
      <w:r w:rsidR="001226BC">
        <w:rPr>
          <w:rFonts w:asciiTheme="minorHAnsi" w:hAnsiTheme="minorHAnsi" w:cstheme="minorHAnsi"/>
          <w:sz w:val="22"/>
          <w:szCs w:val="22"/>
        </w:rPr>
        <w:t xml:space="preserve">may </w:t>
      </w:r>
      <w:r w:rsidR="00AC043C">
        <w:rPr>
          <w:rFonts w:asciiTheme="minorHAnsi" w:hAnsiTheme="minorHAnsi" w:cstheme="minorHAnsi"/>
          <w:sz w:val="22"/>
          <w:szCs w:val="22"/>
        </w:rPr>
        <w:t>seem that</w:t>
      </w:r>
      <w:r w:rsidR="001E71F0">
        <w:rPr>
          <w:rFonts w:asciiTheme="minorHAnsi" w:hAnsiTheme="minorHAnsi" w:cstheme="minorHAnsi"/>
          <w:sz w:val="22"/>
          <w:szCs w:val="22"/>
        </w:rPr>
        <w:t>,</w:t>
      </w:r>
      <w:r w:rsidR="00AC043C">
        <w:rPr>
          <w:rFonts w:asciiTheme="minorHAnsi" w:hAnsiTheme="minorHAnsi" w:cstheme="minorHAnsi"/>
          <w:sz w:val="22"/>
          <w:szCs w:val="22"/>
        </w:rPr>
        <w:t xml:space="preserve"> </w:t>
      </w:r>
      <w:r w:rsidR="001E71F0" w:rsidRPr="00AC043C">
        <w:rPr>
          <w:rFonts w:asciiTheme="minorHAnsi" w:hAnsiTheme="minorHAnsi" w:cstheme="minorHAnsi"/>
          <w:sz w:val="22"/>
          <w:szCs w:val="22"/>
        </w:rPr>
        <w:t xml:space="preserve">in order to </w:t>
      </w:r>
      <w:r w:rsidR="003F4026" w:rsidRPr="00AC043C">
        <w:rPr>
          <w:rFonts w:asciiTheme="minorHAnsi" w:hAnsiTheme="minorHAnsi" w:cstheme="minorHAnsi"/>
          <w:sz w:val="22"/>
          <w:szCs w:val="22"/>
        </w:rPr>
        <w:t>escape</w:t>
      </w:r>
      <w:r w:rsidR="003F4026">
        <w:rPr>
          <w:rFonts w:asciiTheme="minorHAnsi" w:hAnsiTheme="minorHAnsi" w:cstheme="minorHAnsi"/>
          <w:sz w:val="22"/>
          <w:szCs w:val="22"/>
        </w:rPr>
        <w:t xml:space="preserve"> </w:t>
      </w:r>
      <w:r w:rsidR="003F4026" w:rsidRPr="00AC043C">
        <w:rPr>
          <w:rFonts w:asciiTheme="minorHAnsi" w:hAnsiTheme="minorHAnsi" w:cstheme="minorHAnsi"/>
          <w:sz w:val="22"/>
          <w:szCs w:val="22"/>
        </w:rPr>
        <w:t>expropriation</w:t>
      </w:r>
      <w:r w:rsidR="001E71F0" w:rsidRPr="00AC043C">
        <w:rPr>
          <w:rFonts w:asciiTheme="minorHAnsi" w:hAnsiTheme="minorHAnsi" w:cstheme="minorHAnsi"/>
          <w:sz w:val="22"/>
          <w:szCs w:val="22"/>
        </w:rPr>
        <w:t xml:space="preserve"> by the main </w:t>
      </w:r>
      <w:r w:rsidR="001226BC" w:rsidRPr="00AC043C">
        <w:rPr>
          <w:rFonts w:asciiTheme="minorHAnsi" w:hAnsiTheme="minorHAnsi" w:cstheme="minorHAnsi"/>
          <w:sz w:val="22"/>
          <w:szCs w:val="22"/>
        </w:rPr>
        <w:t>block holder</w:t>
      </w:r>
      <w:r w:rsidR="001E71F0">
        <w:rPr>
          <w:rFonts w:asciiTheme="minorHAnsi" w:hAnsiTheme="minorHAnsi" w:cstheme="minorHAnsi"/>
          <w:sz w:val="22"/>
          <w:szCs w:val="22"/>
        </w:rPr>
        <w:t>, the</w:t>
      </w:r>
      <w:r w:rsidR="001E71F0" w:rsidRPr="00AC043C">
        <w:rPr>
          <w:rFonts w:asciiTheme="minorHAnsi" w:hAnsiTheme="minorHAnsi" w:cstheme="minorHAnsi"/>
          <w:sz w:val="22"/>
          <w:szCs w:val="22"/>
        </w:rPr>
        <w:t xml:space="preserve"> </w:t>
      </w:r>
      <w:r w:rsidR="001E71F0">
        <w:rPr>
          <w:rFonts w:asciiTheme="minorHAnsi" w:hAnsiTheme="minorHAnsi" w:cstheme="minorHAnsi"/>
          <w:sz w:val="22"/>
          <w:szCs w:val="22"/>
        </w:rPr>
        <w:t xml:space="preserve"> </w:t>
      </w:r>
      <w:r w:rsidR="001E71F0" w:rsidRPr="00AC043C">
        <w:rPr>
          <w:rFonts w:asciiTheme="minorHAnsi" w:hAnsiTheme="minorHAnsi" w:cstheme="minorHAnsi"/>
          <w:sz w:val="22"/>
          <w:szCs w:val="22"/>
        </w:rPr>
        <w:t xml:space="preserve"> </w:t>
      </w:r>
      <w:r w:rsidR="00AC043C">
        <w:rPr>
          <w:rFonts w:asciiTheme="minorHAnsi" w:hAnsiTheme="minorHAnsi" w:cstheme="minorHAnsi"/>
          <w:sz w:val="22"/>
          <w:szCs w:val="22"/>
        </w:rPr>
        <w:t xml:space="preserve">minority shareholders </w:t>
      </w:r>
      <w:r w:rsidR="003F4026">
        <w:rPr>
          <w:rFonts w:asciiTheme="minorHAnsi" w:hAnsiTheme="minorHAnsi" w:cstheme="minorHAnsi"/>
          <w:sz w:val="22"/>
          <w:szCs w:val="22"/>
        </w:rPr>
        <w:t xml:space="preserve">in a SOE </w:t>
      </w:r>
      <w:r w:rsidR="00AC043C" w:rsidRPr="00AC043C">
        <w:rPr>
          <w:rFonts w:asciiTheme="minorHAnsi" w:hAnsiTheme="minorHAnsi" w:cstheme="minorHAnsi"/>
          <w:sz w:val="22"/>
          <w:szCs w:val="22"/>
        </w:rPr>
        <w:t>ha</w:t>
      </w:r>
      <w:r w:rsidR="00AC043C">
        <w:rPr>
          <w:rFonts w:asciiTheme="minorHAnsi" w:hAnsiTheme="minorHAnsi" w:cstheme="minorHAnsi"/>
          <w:sz w:val="22"/>
          <w:szCs w:val="22"/>
        </w:rPr>
        <w:t>ve</w:t>
      </w:r>
      <w:r w:rsidR="00AC043C" w:rsidRPr="00AC043C">
        <w:rPr>
          <w:rFonts w:asciiTheme="minorHAnsi" w:hAnsiTheme="minorHAnsi" w:cstheme="minorHAnsi"/>
          <w:sz w:val="22"/>
          <w:szCs w:val="22"/>
        </w:rPr>
        <w:t xml:space="preserve"> only one</w:t>
      </w:r>
      <w:r w:rsidR="00AC043C">
        <w:rPr>
          <w:rFonts w:asciiTheme="minorHAnsi" w:hAnsiTheme="minorHAnsi" w:cstheme="minorHAnsi"/>
          <w:sz w:val="22"/>
          <w:szCs w:val="22"/>
        </w:rPr>
        <w:t xml:space="preserve"> option</w:t>
      </w:r>
      <w:r w:rsidR="00AC043C" w:rsidRPr="00AC043C">
        <w:rPr>
          <w:rFonts w:asciiTheme="minorHAnsi" w:hAnsiTheme="minorHAnsi" w:cstheme="minorHAnsi"/>
          <w:sz w:val="22"/>
          <w:szCs w:val="22"/>
        </w:rPr>
        <w:t xml:space="preserve"> </w:t>
      </w:r>
      <w:r w:rsidR="00AC043C">
        <w:rPr>
          <w:rFonts w:asciiTheme="minorHAnsi" w:hAnsiTheme="minorHAnsi" w:cstheme="minorHAnsi"/>
          <w:sz w:val="22"/>
          <w:szCs w:val="22"/>
        </w:rPr>
        <w:t xml:space="preserve">and that is to </w:t>
      </w:r>
      <w:r w:rsidR="00AC043C" w:rsidRPr="00AC043C">
        <w:rPr>
          <w:rFonts w:asciiTheme="minorHAnsi" w:hAnsiTheme="minorHAnsi" w:cstheme="minorHAnsi"/>
          <w:sz w:val="22"/>
          <w:szCs w:val="22"/>
        </w:rPr>
        <w:t>exit (</w:t>
      </w:r>
      <w:r w:rsidR="00F737D4">
        <w:rPr>
          <w:rFonts w:asciiTheme="minorHAnsi" w:hAnsiTheme="minorHAnsi" w:cstheme="minorHAnsi"/>
          <w:sz w:val="22"/>
          <w:szCs w:val="22"/>
        </w:rPr>
        <w:t>on</w:t>
      </w:r>
      <w:r w:rsidR="00AC043C" w:rsidRPr="00AC043C">
        <w:rPr>
          <w:rFonts w:asciiTheme="minorHAnsi" w:hAnsiTheme="minorHAnsi" w:cstheme="minorHAnsi"/>
          <w:sz w:val="22"/>
          <w:szCs w:val="22"/>
        </w:rPr>
        <w:t xml:space="preserve"> relatively </w:t>
      </w:r>
      <w:r w:rsidR="00F737D4">
        <w:rPr>
          <w:rFonts w:asciiTheme="minorHAnsi" w:hAnsiTheme="minorHAnsi" w:cstheme="minorHAnsi"/>
          <w:sz w:val="22"/>
          <w:szCs w:val="22"/>
        </w:rPr>
        <w:t>unfavorable terms</w:t>
      </w:r>
      <w:r w:rsidR="00AC043C">
        <w:rPr>
          <w:rFonts w:asciiTheme="minorHAnsi" w:hAnsiTheme="minorHAnsi" w:cstheme="minorHAnsi"/>
          <w:sz w:val="22"/>
          <w:szCs w:val="22"/>
        </w:rPr>
        <w:t>)</w:t>
      </w:r>
      <w:r w:rsidR="00AC043C" w:rsidRPr="00AC043C">
        <w:rPr>
          <w:rFonts w:asciiTheme="minorHAnsi" w:hAnsiTheme="minorHAnsi" w:cstheme="minorHAnsi"/>
          <w:sz w:val="22"/>
          <w:szCs w:val="22"/>
        </w:rPr>
        <w:t xml:space="preserve"> and </w:t>
      </w:r>
      <w:r w:rsidR="00AC043C">
        <w:rPr>
          <w:rFonts w:asciiTheme="minorHAnsi" w:hAnsiTheme="minorHAnsi" w:cstheme="minorHAnsi"/>
          <w:sz w:val="22"/>
          <w:szCs w:val="22"/>
        </w:rPr>
        <w:t xml:space="preserve">make </w:t>
      </w:r>
      <w:r w:rsidR="00AC043C" w:rsidRPr="00AC043C">
        <w:rPr>
          <w:rFonts w:asciiTheme="minorHAnsi" w:hAnsiTheme="minorHAnsi" w:cstheme="minorHAnsi"/>
          <w:sz w:val="22"/>
          <w:szCs w:val="22"/>
        </w:rPr>
        <w:t>alternative investments</w:t>
      </w:r>
      <w:r>
        <w:rPr>
          <w:rFonts w:asciiTheme="minorHAnsi" w:hAnsiTheme="minorHAnsi" w:cstheme="minorHAnsi"/>
          <w:sz w:val="22"/>
          <w:szCs w:val="22"/>
        </w:rPr>
        <w:t xml:space="preserve"> -</w:t>
      </w:r>
      <w:r w:rsidR="00EB5194">
        <w:rPr>
          <w:rFonts w:asciiTheme="minorHAnsi" w:hAnsiTheme="minorHAnsi" w:cstheme="minorHAnsi"/>
          <w:sz w:val="22"/>
          <w:szCs w:val="22"/>
        </w:rPr>
        <w:t xml:space="preserve"> as some of the statements made by representatives of the Government of India during the recent Coal India imbroglio seem to </w:t>
      </w:r>
      <w:r w:rsidR="003F4026">
        <w:rPr>
          <w:rFonts w:asciiTheme="minorHAnsi" w:hAnsiTheme="minorHAnsi" w:cstheme="minorHAnsi"/>
          <w:sz w:val="22"/>
          <w:szCs w:val="22"/>
        </w:rPr>
        <w:t>suggest</w:t>
      </w:r>
      <w:r w:rsidR="005F45F5">
        <w:rPr>
          <w:rStyle w:val="FootnoteReference"/>
          <w:rFonts w:asciiTheme="minorHAnsi" w:hAnsiTheme="minorHAnsi" w:cstheme="minorHAnsi"/>
          <w:sz w:val="22"/>
          <w:szCs w:val="22"/>
        </w:rPr>
        <w:footnoteReference w:id="31"/>
      </w:r>
      <w:r>
        <w:rPr>
          <w:rFonts w:asciiTheme="minorHAnsi" w:hAnsiTheme="minorHAnsi" w:cstheme="minorHAnsi"/>
          <w:sz w:val="22"/>
          <w:szCs w:val="22"/>
        </w:rPr>
        <w:t>.</w:t>
      </w:r>
    </w:p>
    <w:p w:rsidR="001C232B" w:rsidRDefault="00361524" w:rsidP="00877E7A">
      <w:pPr>
        <w:pStyle w:val="Default"/>
        <w:spacing w:after="200" w:line="276" w:lineRule="auto"/>
        <w:rPr>
          <w:rFonts w:asciiTheme="minorHAnsi" w:hAnsiTheme="minorHAnsi" w:cstheme="minorHAnsi"/>
          <w:sz w:val="22"/>
          <w:szCs w:val="22"/>
          <w:lang w:val="en-IN"/>
        </w:rPr>
      </w:pPr>
      <w:r>
        <w:rPr>
          <w:rFonts w:asciiTheme="minorHAnsi" w:hAnsiTheme="minorHAnsi" w:cstheme="minorHAnsi"/>
          <w:sz w:val="22"/>
          <w:szCs w:val="22"/>
        </w:rPr>
        <w:t>However</w:t>
      </w:r>
      <w:r w:rsidR="001E71F0">
        <w:rPr>
          <w:rFonts w:asciiTheme="minorHAnsi" w:hAnsiTheme="minorHAnsi" w:cstheme="minorHAnsi"/>
          <w:sz w:val="22"/>
          <w:szCs w:val="22"/>
        </w:rPr>
        <w:t>,</w:t>
      </w:r>
      <w:r w:rsidR="00EB5194">
        <w:rPr>
          <w:rFonts w:asciiTheme="minorHAnsi" w:hAnsiTheme="minorHAnsi" w:cstheme="minorHAnsi"/>
          <w:sz w:val="22"/>
          <w:szCs w:val="22"/>
        </w:rPr>
        <w:t xml:space="preserve"> a variety </w:t>
      </w:r>
      <w:r w:rsidR="003F4026">
        <w:rPr>
          <w:rFonts w:asciiTheme="minorHAnsi" w:hAnsiTheme="minorHAnsi" w:cstheme="minorHAnsi"/>
          <w:sz w:val="22"/>
          <w:szCs w:val="22"/>
        </w:rPr>
        <w:t>of other</w:t>
      </w:r>
      <w:r w:rsidR="001E71F0">
        <w:rPr>
          <w:rFonts w:asciiTheme="minorHAnsi" w:hAnsiTheme="minorHAnsi" w:cstheme="minorHAnsi"/>
          <w:sz w:val="22"/>
          <w:szCs w:val="22"/>
        </w:rPr>
        <w:t xml:space="preserve"> </w:t>
      </w:r>
      <w:r w:rsidR="003F4026">
        <w:rPr>
          <w:rFonts w:asciiTheme="minorHAnsi" w:hAnsiTheme="minorHAnsi" w:cstheme="minorHAnsi"/>
          <w:sz w:val="22"/>
          <w:szCs w:val="22"/>
        </w:rPr>
        <w:t>feasible, alternative</w:t>
      </w:r>
      <w:r w:rsidR="001E71F0">
        <w:rPr>
          <w:rFonts w:asciiTheme="minorHAnsi" w:hAnsiTheme="minorHAnsi" w:cstheme="minorHAnsi"/>
          <w:sz w:val="22"/>
          <w:szCs w:val="22"/>
        </w:rPr>
        <w:t xml:space="preserve"> courses of action are also </w:t>
      </w:r>
      <w:r w:rsidR="00EB5194">
        <w:rPr>
          <w:rFonts w:asciiTheme="minorHAnsi" w:hAnsiTheme="minorHAnsi" w:cstheme="minorHAnsi"/>
          <w:sz w:val="22"/>
          <w:szCs w:val="22"/>
        </w:rPr>
        <w:t>available to the minority shareholders</w:t>
      </w:r>
      <w:r w:rsidR="00F21D96">
        <w:rPr>
          <w:rFonts w:asciiTheme="minorHAnsi" w:hAnsiTheme="minorHAnsi" w:cstheme="minorHAnsi"/>
          <w:sz w:val="22"/>
          <w:szCs w:val="22"/>
        </w:rPr>
        <w:t>.</w:t>
      </w:r>
      <w:r w:rsidR="00FE3831">
        <w:rPr>
          <w:rFonts w:asciiTheme="minorHAnsi" w:hAnsiTheme="minorHAnsi" w:cstheme="minorHAnsi"/>
          <w:sz w:val="22"/>
          <w:szCs w:val="22"/>
        </w:rPr>
        <w:t xml:space="preserve"> </w:t>
      </w:r>
      <w:r w:rsidR="00EB5194" w:rsidRPr="0026110E">
        <w:rPr>
          <w:rFonts w:asciiTheme="minorHAnsi" w:hAnsiTheme="minorHAnsi" w:cstheme="minorHAnsi"/>
          <w:sz w:val="22"/>
          <w:szCs w:val="22"/>
        </w:rPr>
        <w:t xml:space="preserve">Based on a study </w:t>
      </w:r>
      <w:r w:rsidR="003F4026" w:rsidRPr="0026110E">
        <w:rPr>
          <w:rFonts w:asciiTheme="minorHAnsi" w:hAnsiTheme="minorHAnsi" w:cstheme="minorHAnsi"/>
          <w:sz w:val="22"/>
          <w:szCs w:val="22"/>
        </w:rPr>
        <w:t>carried out of the performance of</w:t>
      </w:r>
      <w:r w:rsidR="0026110E" w:rsidRPr="0026110E">
        <w:rPr>
          <w:rFonts w:asciiTheme="minorHAnsi" w:hAnsiTheme="minorHAnsi" w:cstheme="minorHAnsi"/>
          <w:sz w:val="22"/>
          <w:szCs w:val="22"/>
        </w:rPr>
        <w:t xml:space="preserve"> a leading Italian SOE,</w:t>
      </w:r>
      <w:r w:rsidR="003F4026" w:rsidRPr="0026110E">
        <w:rPr>
          <w:rFonts w:asciiTheme="minorHAnsi" w:hAnsiTheme="minorHAnsi" w:cstheme="minorHAnsi"/>
          <w:sz w:val="22"/>
          <w:szCs w:val="22"/>
        </w:rPr>
        <w:t xml:space="preserve"> </w:t>
      </w:r>
      <w:r w:rsidR="00EB5194" w:rsidRPr="0026110E">
        <w:rPr>
          <w:rFonts w:asciiTheme="minorHAnsi" w:hAnsiTheme="minorHAnsi" w:cstheme="minorHAnsi"/>
          <w:sz w:val="22"/>
          <w:szCs w:val="22"/>
        </w:rPr>
        <w:t xml:space="preserve"> </w:t>
      </w:r>
      <w:r w:rsidR="003F4026" w:rsidRPr="0026110E">
        <w:rPr>
          <w:rFonts w:asciiTheme="minorHAnsi" w:hAnsiTheme="minorHAnsi" w:cstheme="minorHAnsi"/>
          <w:sz w:val="22"/>
          <w:szCs w:val="22"/>
        </w:rPr>
        <w:t xml:space="preserve">Istituto per la Ricostruzione Industriale (IRI) between 1950s and 1970s </w:t>
      </w:r>
      <w:r w:rsidR="0026110E" w:rsidRPr="0026110E">
        <w:rPr>
          <w:rFonts w:asciiTheme="minorHAnsi" w:hAnsiTheme="minorHAnsi" w:cstheme="minorHAnsi"/>
          <w:sz w:val="22"/>
          <w:szCs w:val="22"/>
        </w:rPr>
        <w:t>,</w:t>
      </w:r>
      <w:r w:rsidR="003F4026" w:rsidRPr="0026110E">
        <w:rPr>
          <w:rFonts w:asciiTheme="minorHAnsi" w:hAnsiTheme="minorHAnsi" w:cstheme="minorHAnsi"/>
          <w:sz w:val="22"/>
          <w:szCs w:val="22"/>
        </w:rPr>
        <w:t xml:space="preserve">that highlighted many of the governance issues </w:t>
      </w:r>
      <w:r w:rsidR="0026110E">
        <w:rPr>
          <w:rFonts w:asciiTheme="minorHAnsi" w:hAnsiTheme="minorHAnsi" w:cstheme="minorHAnsi"/>
          <w:sz w:val="22"/>
          <w:szCs w:val="22"/>
        </w:rPr>
        <w:t xml:space="preserve">that arise </w:t>
      </w:r>
      <w:r w:rsidR="003F4026" w:rsidRPr="0026110E">
        <w:rPr>
          <w:rFonts w:asciiTheme="minorHAnsi" w:hAnsiTheme="minorHAnsi" w:cstheme="minorHAnsi"/>
          <w:sz w:val="22"/>
          <w:szCs w:val="22"/>
        </w:rPr>
        <w:t xml:space="preserve">in  listed companies </w:t>
      </w:r>
      <w:r w:rsidR="0026110E" w:rsidRPr="0026110E">
        <w:rPr>
          <w:rFonts w:asciiTheme="minorHAnsi" w:hAnsiTheme="minorHAnsi" w:cstheme="minorHAnsi"/>
          <w:sz w:val="22"/>
          <w:szCs w:val="22"/>
        </w:rPr>
        <w:t>where the s</w:t>
      </w:r>
      <w:r w:rsidR="003F4026" w:rsidRPr="0026110E">
        <w:rPr>
          <w:rFonts w:asciiTheme="minorHAnsi" w:hAnsiTheme="minorHAnsi" w:cstheme="minorHAnsi"/>
          <w:sz w:val="22"/>
          <w:szCs w:val="22"/>
        </w:rPr>
        <w:t xml:space="preserve">tate </w:t>
      </w:r>
      <w:r w:rsidR="0026110E" w:rsidRPr="0026110E">
        <w:rPr>
          <w:rFonts w:asciiTheme="minorHAnsi" w:hAnsiTheme="minorHAnsi" w:cstheme="minorHAnsi"/>
          <w:sz w:val="22"/>
          <w:szCs w:val="22"/>
        </w:rPr>
        <w:t xml:space="preserve">is a controlling </w:t>
      </w:r>
      <w:r w:rsidR="003F4026" w:rsidRPr="0026110E">
        <w:rPr>
          <w:rFonts w:asciiTheme="minorHAnsi" w:hAnsiTheme="minorHAnsi" w:cstheme="minorHAnsi"/>
          <w:sz w:val="22"/>
          <w:szCs w:val="22"/>
        </w:rPr>
        <w:t xml:space="preserve"> shareholder </w:t>
      </w:r>
      <w:r w:rsidR="0026110E">
        <w:rPr>
          <w:rFonts w:asciiTheme="minorHAnsi" w:hAnsiTheme="minorHAnsi" w:cstheme="minorHAnsi"/>
          <w:sz w:val="22"/>
          <w:szCs w:val="22"/>
        </w:rPr>
        <w:t xml:space="preserve">and which </w:t>
      </w:r>
      <w:r w:rsidR="0026110E" w:rsidRPr="0026110E">
        <w:rPr>
          <w:rFonts w:asciiTheme="minorHAnsi" w:hAnsiTheme="minorHAnsi" w:cstheme="minorHAnsi"/>
          <w:sz w:val="22"/>
          <w:szCs w:val="22"/>
        </w:rPr>
        <w:t>operat</w:t>
      </w:r>
      <w:r w:rsidR="0026110E">
        <w:rPr>
          <w:rFonts w:asciiTheme="minorHAnsi" w:hAnsiTheme="minorHAnsi" w:cstheme="minorHAnsi"/>
          <w:sz w:val="22"/>
          <w:szCs w:val="22"/>
        </w:rPr>
        <w:t>e</w:t>
      </w:r>
      <w:r w:rsidR="0026110E" w:rsidRPr="0026110E">
        <w:rPr>
          <w:rFonts w:asciiTheme="minorHAnsi" w:hAnsiTheme="minorHAnsi" w:cstheme="minorHAnsi"/>
          <w:sz w:val="22"/>
          <w:szCs w:val="22"/>
        </w:rPr>
        <w:t xml:space="preserve"> in an environment </w:t>
      </w:r>
      <w:r w:rsidR="0026110E">
        <w:rPr>
          <w:rFonts w:asciiTheme="minorHAnsi" w:hAnsiTheme="minorHAnsi" w:cstheme="minorHAnsi"/>
          <w:sz w:val="22"/>
          <w:szCs w:val="22"/>
        </w:rPr>
        <w:t xml:space="preserve">that is </w:t>
      </w:r>
      <w:r w:rsidR="0026110E" w:rsidRPr="0026110E">
        <w:rPr>
          <w:rFonts w:asciiTheme="minorHAnsi" w:hAnsiTheme="minorHAnsi" w:cstheme="minorHAnsi"/>
          <w:sz w:val="22"/>
          <w:szCs w:val="22"/>
        </w:rPr>
        <w:t>characterized by an a</w:t>
      </w:r>
      <w:r w:rsidR="003F4026" w:rsidRPr="0026110E">
        <w:rPr>
          <w:rFonts w:asciiTheme="minorHAnsi" w:hAnsiTheme="minorHAnsi" w:cstheme="minorHAnsi"/>
          <w:sz w:val="22"/>
          <w:szCs w:val="22"/>
        </w:rPr>
        <w:t>bsence of appropriate minorities protection</w:t>
      </w:r>
      <w:r w:rsidR="0026110E" w:rsidRPr="0026110E">
        <w:rPr>
          <w:rFonts w:asciiTheme="minorHAnsi" w:hAnsiTheme="minorHAnsi" w:cstheme="minorHAnsi"/>
          <w:sz w:val="22"/>
          <w:szCs w:val="22"/>
        </w:rPr>
        <w:t>,</w:t>
      </w:r>
      <w:r w:rsidR="00EA392E">
        <w:rPr>
          <w:rFonts w:asciiTheme="minorHAnsi" w:hAnsiTheme="minorHAnsi" w:cstheme="minorHAnsi"/>
          <w:sz w:val="22"/>
          <w:szCs w:val="22"/>
        </w:rPr>
        <w:t xml:space="preserve"> </w:t>
      </w:r>
      <w:r w:rsidR="001E71F0" w:rsidRPr="001E71F0">
        <w:rPr>
          <w:rFonts w:asciiTheme="minorHAnsi" w:eastAsiaTheme="minorEastAsia" w:hAnsiTheme="minorHAnsi" w:cstheme="minorBidi"/>
          <w:i/>
          <w:color w:val="auto"/>
          <w:sz w:val="22"/>
          <w:szCs w:val="22"/>
          <w:lang w:eastAsia="en-IN"/>
        </w:rPr>
        <w:t xml:space="preserve"> </w:t>
      </w:r>
      <w:r w:rsidR="001E71F0" w:rsidRPr="001E71F0">
        <w:rPr>
          <w:rFonts w:asciiTheme="minorHAnsi" w:hAnsiTheme="minorHAnsi" w:cstheme="minorHAnsi"/>
          <w:sz w:val="22"/>
          <w:szCs w:val="22"/>
          <w:lang w:val="en-IN"/>
        </w:rPr>
        <w:t>Andrea Colli</w:t>
      </w:r>
      <w:r w:rsidR="000142FE">
        <w:rPr>
          <w:rStyle w:val="FootnoteReference"/>
          <w:rFonts w:asciiTheme="minorHAnsi" w:hAnsiTheme="minorHAnsi" w:cstheme="minorHAnsi"/>
          <w:sz w:val="22"/>
          <w:szCs w:val="22"/>
          <w:lang w:val="en-IN"/>
        </w:rPr>
        <w:footnoteReference w:id="32"/>
      </w:r>
      <w:r w:rsidR="00EA392E">
        <w:rPr>
          <w:rFonts w:asciiTheme="minorHAnsi" w:hAnsiTheme="minorHAnsi" w:cstheme="minorHAnsi"/>
          <w:sz w:val="22"/>
          <w:szCs w:val="22"/>
          <w:lang w:val="en-IN"/>
        </w:rPr>
        <w:t xml:space="preserve"> has suggested that </w:t>
      </w:r>
      <w:r w:rsidR="00F21D96">
        <w:rPr>
          <w:rFonts w:asciiTheme="minorHAnsi" w:hAnsiTheme="minorHAnsi" w:cstheme="minorHAnsi"/>
          <w:sz w:val="22"/>
          <w:szCs w:val="22"/>
          <w:lang w:val="en-IN"/>
        </w:rPr>
        <w:t xml:space="preserve"> there are at least four </w:t>
      </w:r>
      <w:r w:rsidR="0026110E">
        <w:rPr>
          <w:rFonts w:asciiTheme="minorHAnsi" w:hAnsiTheme="minorHAnsi" w:cstheme="minorHAnsi"/>
          <w:sz w:val="22"/>
          <w:szCs w:val="22"/>
          <w:lang w:val="en-IN"/>
        </w:rPr>
        <w:t xml:space="preserve">possible </w:t>
      </w:r>
      <w:r w:rsidR="00F21D96">
        <w:rPr>
          <w:rFonts w:asciiTheme="minorHAnsi" w:hAnsiTheme="minorHAnsi" w:cstheme="minorHAnsi"/>
          <w:sz w:val="22"/>
          <w:szCs w:val="22"/>
          <w:lang w:val="en-IN"/>
        </w:rPr>
        <w:t>options</w:t>
      </w:r>
      <w:r w:rsidR="0026110E">
        <w:rPr>
          <w:rFonts w:asciiTheme="minorHAnsi" w:hAnsiTheme="minorHAnsi" w:cstheme="minorHAnsi"/>
          <w:sz w:val="22"/>
          <w:szCs w:val="22"/>
          <w:lang w:val="en-IN"/>
        </w:rPr>
        <w:t xml:space="preserve"> to the option of minority shareholders exiting in a situation where their rights are being expropriated. </w:t>
      </w:r>
    </w:p>
    <w:p w:rsidR="00E75D72" w:rsidRDefault="0026110E" w:rsidP="00877E7A">
      <w:pPr>
        <w:pStyle w:val="Default"/>
        <w:spacing w:after="200" w:line="276" w:lineRule="auto"/>
        <w:rPr>
          <w:rFonts w:asciiTheme="minorHAnsi" w:hAnsiTheme="minorHAnsi" w:cstheme="minorHAnsi"/>
          <w:sz w:val="22"/>
          <w:szCs w:val="22"/>
        </w:rPr>
      </w:pPr>
      <w:r>
        <w:rPr>
          <w:rFonts w:asciiTheme="minorHAnsi" w:hAnsiTheme="minorHAnsi" w:cstheme="minorHAnsi"/>
          <w:sz w:val="22"/>
          <w:szCs w:val="22"/>
          <w:lang w:val="en-IN"/>
        </w:rPr>
        <w:t>T</w:t>
      </w:r>
      <w:r w:rsidR="00AC043C" w:rsidRPr="00AC043C">
        <w:rPr>
          <w:rFonts w:asciiTheme="minorHAnsi" w:hAnsiTheme="minorHAnsi" w:cstheme="minorHAnsi"/>
          <w:sz w:val="22"/>
          <w:szCs w:val="22"/>
        </w:rPr>
        <w:t>he first</w:t>
      </w:r>
      <w:r w:rsidR="001E71F0">
        <w:rPr>
          <w:rFonts w:asciiTheme="minorHAnsi" w:hAnsiTheme="minorHAnsi" w:cstheme="minorHAnsi"/>
          <w:sz w:val="22"/>
          <w:szCs w:val="22"/>
        </w:rPr>
        <w:t xml:space="preserve"> alternative is the</w:t>
      </w:r>
      <w:r w:rsidR="00AC043C" w:rsidRPr="00AC043C">
        <w:rPr>
          <w:rFonts w:asciiTheme="minorHAnsi" w:hAnsiTheme="minorHAnsi" w:cstheme="minorHAnsi"/>
          <w:sz w:val="22"/>
          <w:szCs w:val="22"/>
        </w:rPr>
        <w:t xml:space="preserve"> establishment of appropriate governance independent mechanisms or agencies</w:t>
      </w:r>
      <w:r w:rsidR="001E71F0">
        <w:rPr>
          <w:rFonts w:asciiTheme="minorHAnsi" w:hAnsiTheme="minorHAnsi" w:cstheme="minorHAnsi"/>
          <w:sz w:val="22"/>
          <w:szCs w:val="22"/>
        </w:rPr>
        <w:t xml:space="preserve"> while the </w:t>
      </w:r>
      <w:r w:rsidR="00AC043C" w:rsidRPr="00AC043C">
        <w:rPr>
          <w:rFonts w:asciiTheme="minorHAnsi" w:hAnsiTheme="minorHAnsi" w:cstheme="minorHAnsi"/>
          <w:sz w:val="22"/>
          <w:szCs w:val="22"/>
        </w:rPr>
        <w:t>second</w:t>
      </w:r>
      <w:r w:rsidR="001E71F0">
        <w:rPr>
          <w:rFonts w:asciiTheme="minorHAnsi" w:hAnsiTheme="minorHAnsi" w:cstheme="minorHAnsi"/>
          <w:sz w:val="22"/>
          <w:szCs w:val="22"/>
        </w:rPr>
        <w:t xml:space="preserve"> alternative is </w:t>
      </w:r>
      <w:r w:rsidR="001E71F0" w:rsidRPr="00AC043C">
        <w:rPr>
          <w:rFonts w:asciiTheme="minorHAnsi" w:hAnsiTheme="minorHAnsi" w:cstheme="minorHAnsi"/>
          <w:sz w:val="22"/>
          <w:szCs w:val="22"/>
        </w:rPr>
        <w:t>to</w:t>
      </w:r>
      <w:r w:rsidR="00AC043C" w:rsidRPr="00AC043C">
        <w:rPr>
          <w:rFonts w:asciiTheme="minorHAnsi" w:hAnsiTheme="minorHAnsi" w:cstheme="minorHAnsi"/>
          <w:sz w:val="22"/>
          <w:szCs w:val="22"/>
        </w:rPr>
        <w:t xml:space="preserve"> incentivize the creation of associations of minority shareholders</w:t>
      </w:r>
      <w:r w:rsidR="00FB085D" w:rsidRPr="00AC043C">
        <w:rPr>
          <w:rFonts w:asciiTheme="minorHAnsi" w:hAnsiTheme="minorHAnsi" w:cstheme="minorHAnsi"/>
          <w:sz w:val="22"/>
          <w:szCs w:val="22"/>
        </w:rPr>
        <w:t>, as</w:t>
      </w:r>
      <w:r w:rsidR="00AC043C" w:rsidRPr="00AC043C">
        <w:rPr>
          <w:rFonts w:asciiTheme="minorHAnsi" w:hAnsiTheme="minorHAnsi" w:cstheme="minorHAnsi"/>
          <w:sz w:val="22"/>
          <w:szCs w:val="22"/>
        </w:rPr>
        <w:t xml:space="preserve"> in </w:t>
      </w:r>
      <w:r w:rsidR="00FB085D">
        <w:rPr>
          <w:rFonts w:asciiTheme="minorHAnsi" w:hAnsiTheme="minorHAnsi" w:cstheme="minorHAnsi"/>
          <w:sz w:val="22"/>
          <w:szCs w:val="22"/>
        </w:rPr>
        <w:t>some</w:t>
      </w:r>
      <w:r w:rsidR="00AC043C" w:rsidRPr="00AC043C">
        <w:rPr>
          <w:rFonts w:asciiTheme="minorHAnsi" w:hAnsiTheme="minorHAnsi" w:cstheme="minorHAnsi"/>
          <w:sz w:val="22"/>
          <w:szCs w:val="22"/>
        </w:rPr>
        <w:t xml:space="preserve"> European </w:t>
      </w:r>
      <w:r w:rsidR="001E71F0" w:rsidRPr="00AC043C">
        <w:rPr>
          <w:rFonts w:asciiTheme="minorHAnsi" w:hAnsiTheme="minorHAnsi" w:cstheme="minorHAnsi"/>
          <w:sz w:val="22"/>
          <w:szCs w:val="22"/>
        </w:rPr>
        <w:t>countries,</w:t>
      </w:r>
      <w:r w:rsidR="001E71F0">
        <w:rPr>
          <w:rFonts w:asciiTheme="minorHAnsi" w:hAnsiTheme="minorHAnsi" w:cstheme="minorHAnsi"/>
          <w:sz w:val="22"/>
          <w:szCs w:val="22"/>
        </w:rPr>
        <w:t xml:space="preserve"> that </w:t>
      </w:r>
      <w:r w:rsidR="001226BC">
        <w:rPr>
          <w:rFonts w:asciiTheme="minorHAnsi" w:hAnsiTheme="minorHAnsi" w:cstheme="minorHAnsi"/>
          <w:sz w:val="22"/>
          <w:szCs w:val="22"/>
        </w:rPr>
        <w:t xml:space="preserve">is </w:t>
      </w:r>
      <w:r w:rsidR="001226BC" w:rsidRPr="00AC043C">
        <w:rPr>
          <w:rFonts w:asciiTheme="minorHAnsi" w:hAnsiTheme="minorHAnsi" w:cstheme="minorHAnsi"/>
          <w:sz w:val="22"/>
          <w:szCs w:val="22"/>
        </w:rPr>
        <w:t>able</w:t>
      </w:r>
      <w:r w:rsidR="00AC043C" w:rsidRPr="00AC043C">
        <w:rPr>
          <w:rFonts w:asciiTheme="minorHAnsi" w:hAnsiTheme="minorHAnsi" w:cstheme="minorHAnsi"/>
          <w:sz w:val="22"/>
          <w:szCs w:val="22"/>
        </w:rPr>
        <w:t xml:space="preserve"> to exert formal and informal pressures on the companies’ top management. A third possibility</w:t>
      </w:r>
      <w:r w:rsidR="001C232B">
        <w:rPr>
          <w:rFonts w:asciiTheme="minorHAnsi" w:hAnsiTheme="minorHAnsi" w:cstheme="minorHAnsi"/>
          <w:sz w:val="22"/>
          <w:szCs w:val="22"/>
        </w:rPr>
        <w:t xml:space="preserve"> would be</w:t>
      </w:r>
      <w:r w:rsidR="00AC043C" w:rsidRPr="00AC043C">
        <w:rPr>
          <w:rFonts w:asciiTheme="minorHAnsi" w:hAnsiTheme="minorHAnsi" w:cstheme="minorHAnsi"/>
          <w:sz w:val="22"/>
          <w:szCs w:val="22"/>
        </w:rPr>
        <w:t xml:space="preserve"> to</w:t>
      </w:r>
      <w:r w:rsidR="001C232B">
        <w:rPr>
          <w:rFonts w:asciiTheme="minorHAnsi" w:hAnsiTheme="minorHAnsi" w:cstheme="minorHAnsi"/>
          <w:sz w:val="22"/>
          <w:szCs w:val="22"/>
        </w:rPr>
        <w:t>,</w:t>
      </w:r>
      <w:r w:rsidR="00AC043C" w:rsidRPr="00AC043C">
        <w:rPr>
          <w:rFonts w:asciiTheme="minorHAnsi" w:hAnsiTheme="minorHAnsi" w:cstheme="minorHAnsi"/>
          <w:sz w:val="22"/>
          <w:szCs w:val="22"/>
        </w:rPr>
        <w:t xml:space="preserve"> at least</w:t>
      </w:r>
      <w:r w:rsidR="001C232B">
        <w:rPr>
          <w:rFonts w:asciiTheme="minorHAnsi" w:hAnsiTheme="minorHAnsi" w:cstheme="minorHAnsi"/>
          <w:sz w:val="22"/>
          <w:szCs w:val="22"/>
        </w:rPr>
        <w:t>,</w:t>
      </w:r>
      <w:r w:rsidR="00AC043C" w:rsidRPr="00AC043C">
        <w:rPr>
          <w:rFonts w:asciiTheme="minorHAnsi" w:hAnsiTheme="minorHAnsi" w:cstheme="minorHAnsi"/>
          <w:sz w:val="22"/>
          <w:szCs w:val="22"/>
        </w:rPr>
        <w:t xml:space="preserve"> partially improve the conditions of minorities</w:t>
      </w:r>
      <w:r>
        <w:rPr>
          <w:rFonts w:asciiTheme="minorHAnsi" w:hAnsiTheme="minorHAnsi" w:cstheme="minorHAnsi"/>
          <w:sz w:val="22"/>
          <w:szCs w:val="22"/>
        </w:rPr>
        <w:t>,</w:t>
      </w:r>
      <w:r w:rsidR="00AC043C" w:rsidRPr="00AC043C">
        <w:rPr>
          <w:rFonts w:asciiTheme="minorHAnsi" w:hAnsiTheme="minorHAnsi" w:cstheme="minorHAnsi"/>
          <w:sz w:val="22"/>
          <w:szCs w:val="22"/>
        </w:rPr>
        <w:t xml:space="preserve"> </w:t>
      </w:r>
      <w:r w:rsidR="001C232B">
        <w:rPr>
          <w:rFonts w:asciiTheme="minorHAnsi" w:hAnsiTheme="minorHAnsi" w:cstheme="minorHAnsi"/>
          <w:sz w:val="22"/>
          <w:szCs w:val="22"/>
        </w:rPr>
        <w:t>by</w:t>
      </w:r>
      <w:r w:rsidR="00AC043C" w:rsidRPr="00AC043C">
        <w:rPr>
          <w:rFonts w:asciiTheme="minorHAnsi" w:hAnsiTheme="minorHAnsi" w:cstheme="minorHAnsi"/>
          <w:sz w:val="22"/>
          <w:szCs w:val="22"/>
        </w:rPr>
        <w:t xml:space="preserve"> increas</w:t>
      </w:r>
      <w:r w:rsidR="001C232B">
        <w:rPr>
          <w:rFonts w:asciiTheme="minorHAnsi" w:hAnsiTheme="minorHAnsi" w:cstheme="minorHAnsi"/>
          <w:sz w:val="22"/>
          <w:szCs w:val="22"/>
        </w:rPr>
        <w:t>ing</w:t>
      </w:r>
      <w:r w:rsidR="00AC043C" w:rsidRPr="00AC043C">
        <w:rPr>
          <w:rFonts w:asciiTheme="minorHAnsi" w:hAnsiTheme="minorHAnsi" w:cstheme="minorHAnsi"/>
          <w:sz w:val="22"/>
          <w:szCs w:val="22"/>
        </w:rPr>
        <w:t xml:space="preserve"> the efficiency of the market for corporate control</w:t>
      </w:r>
      <w:r w:rsidR="001C232B">
        <w:rPr>
          <w:rFonts w:asciiTheme="minorHAnsi" w:hAnsiTheme="minorHAnsi" w:cstheme="minorHAnsi"/>
          <w:sz w:val="22"/>
          <w:szCs w:val="22"/>
        </w:rPr>
        <w:t>,</w:t>
      </w:r>
      <w:r w:rsidR="00AC043C" w:rsidRPr="00AC043C">
        <w:rPr>
          <w:rFonts w:asciiTheme="minorHAnsi" w:hAnsiTheme="minorHAnsi" w:cstheme="minorHAnsi"/>
          <w:sz w:val="22"/>
          <w:szCs w:val="22"/>
        </w:rPr>
        <w:t xml:space="preserve"> allowing in this way</w:t>
      </w:r>
      <w:r w:rsidR="001E71F0">
        <w:rPr>
          <w:rFonts w:asciiTheme="minorHAnsi" w:hAnsiTheme="minorHAnsi" w:cstheme="minorHAnsi"/>
          <w:sz w:val="22"/>
          <w:szCs w:val="22"/>
        </w:rPr>
        <w:t xml:space="preserve"> for</w:t>
      </w:r>
      <w:r w:rsidR="00AC043C" w:rsidRPr="00AC043C">
        <w:rPr>
          <w:rFonts w:asciiTheme="minorHAnsi" w:hAnsiTheme="minorHAnsi" w:cstheme="minorHAnsi"/>
          <w:sz w:val="22"/>
          <w:szCs w:val="22"/>
        </w:rPr>
        <w:t xml:space="preserve"> the mobilization of illiquid assets. A fourth </w:t>
      </w:r>
      <w:r w:rsidR="001226BC">
        <w:rPr>
          <w:rFonts w:asciiTheme="minorHAnsi" w:hAnsiTheme="minorHAnsi" w:cstheme="minorHAnsi"/>
          <w:sz w:val="22"/>
          <w:szCs w:val="22"/>
        </w:rPr>
        <w:t xml:space="preserve">option </w:t>
      </w:r>
      <w:r w:rsidR="001226BC" w:rsidRPr="00AC043C">
        <w:rPr>
          <w:rFonts w:asciiTheme="minorHAnsi" w:hAnsiTheme="minorHAnsi" w:cstheme="minorHAnsi"/>
          <w:sz w:val="22"/>
          <w:szCs w:val="22"/>
        </w:rPr>
        <w:t>would</w:t>
      </w:r>
      <w:r w:rsidR="00AC043C" w:rsidRPr="00AC043C">
        <w:rPr>
          <w:rFonts w:asciiTheme="minorHAnsi" w:hAnsiTheme="minorHAnsi" w:cstheme="minorHAnsi"/>
          <w:sz w:val="22"/>
          <w:szCs w:val="22"/>
        </w:rPr>
        <w:t xml:space="preserve"> be a sort of activism by institutional </w:t>
      </w:r>
      <w:r w:rsidR="001226BC" w:rsidRPr="00AC043C">
        <w:rPr>
          <w:rFonts w:asciiTheme="minorHAnsi" w:hAnsiTheme="minorHAnsi" w:cstheme="minorHAnsi"/>
          <w:sz w:val="22"/>
          <w:szCs w:val="22"/>
        </w:rPr>
        <w:t>investors that</w:t>
      </w:r>
      <w:r w:rsidR="00AC043C" w:rsidRPr="00AC043C">
        <w:rPr>
          <w:rFonts w:asciiTheme="minorHAnsi" w:hAnsiTheme="minorHAnsi" w:cstheme="minorHAnsi"/>
          <w:sz w:val="22"/>
          <w:szCs w:val="22"/>
        </w:rPr>
        <w:t xml:space="preserve"> is by other financial and non financial companies acting as minority shareholders. </w:t>
      </w:r>
    </w:p>
    <w:p w:rsidR="007219C4" w:rsidRDefault="007219C4" w:rsidP="00877E7A">
      <w:pPr>
        <w:pStyle w:val="Default"/>
        <w:spacing w:after="200" w:line="276" w:lineRule="auto"/>
        <w:rPr>
          <w:rFonts w:asciiTheme="minorHAnsi" w:hAnsiTheme="minorHAnsi" w:cstheme="minorHAnsi"/>
          <w:sz w:val="22"/>
          <w:szCs w:val="22"/>
        </w:rPr>
      </w:pPr>
    </w:p>
    <w:p w:rsidR="000453C5" w:rsidRPr="000453C5" w:rsidRDefault="009D0B3D" w:rsidP="000453C5">
      <w:pPr>
        <w:pStyle w:val="ListParagraph"/>
        <w:numPr>
          <w:ilvl w:val="0"/>
          <w:numId w:val="18"/>
        </w:numPr>
        <w:rPr>
          <w:b/>
          <w:sz w:val="32"/>
          <w:szCs w:val="32"/>
          <w:u w:val="single"/>
        </w:rPr>
      </w:pPr>
      <w:r>
        <w:rPr>
          <w:b/>
          <w:sz w:val="32"/>
          <w:szCs w:val="32"/>
          <w:u w:val="single"/>
        </w:rPr>
        <w:lastRenderedPageBreak/>
        <w:t>Corporate Governance in SOEs -</w:t>
      </w:r>
      <w:r w:rsidR="00C61E50" w:rsidRPr="003776E8">
        <w:rPr>
          <w:b/>
          <w:sz w:val="32"/>
          <w:szCs w:val="32"/>
          <w:u w:val="single"/>
        </w:rPr>
        <w:t xml:space="preserve"> </w:t>
      </w:r>
      <w:r w:rsidR="00C61E50">
        <w:rPr>
          <w:b/>
          <w:sz w:val="32"/>
          <w:szCs w:val="32"/>
          <w:u w:val="single"/>
        </w:rPr>
        <w:t>International</w:t>
      </w:r>
      <w:r w:rsidR="000453C5" w:rsidRPr="000453C5">
        <w:rPr>
          <w:b/>
          <w:sz w:val="32"/>
          <w:szCs w:val="32"/>
          <w:u w:val="single"/>
        </w:rPr>
        <w:t xml:space="preserve"> </w:t>
      </w:r>
      <w:r>
        <w:rPr>
          <w:b/>
          <w:sz w:val="32"/>
          <w:szCs w:val="32"/>
          <w:u w:val="single"/>
        </w:rPr>
        <w:t>practices and trends.</w:t>
      </w:r>
    </w:p>
    <w:p w:rsidR="00E3561F" w:rsidRDefault="003776E8" w:rsidP="00877E7A">
      <w:pPr>
        <w:autoSpaceDE w:val="0"/>
        <w:autoSpaceDN w:val="0"/>
        <w:adjustRightInd w:val="0"/>
        <w:rPr>
          <w:rFonts w:eastAsiaTheme="minorHAnsi" w:cstheme="minorHAnsi"/>
          <w:lang w:val="en-US" w:eastAsia="en-US"/>
        </w:rPr>
      </w:pPr>
      <w:r w:rsidRPr="006F2ADE">
        <w:rPr>
          <w:rFonts w:eastAsiaTheme="minorHAnsi" w:cstheme="minorHAnsi"/>
          <w:lang w:val="en-US" w:eastAsia="en-US"/>
        </w:rPr>
        <w:t>The relationship between the state as a controlling or</w:t>
      </w:r>
      <w:r>
        <w:rPr>
          <w:rFonts w:eastAsiaTheme="minorHAnsi" w:cstheme="minorHAnsi"/>
          <w:lang w:val="en-US" w:eastAsia="en-US"/>
        </w:rPr>
        <w:t xml:space="preserve"> </w:t>
      </w:r>
      <w:r w:rsidRPr="006F2ADE">
        <w:rPr>
          <w:rFonts w:eastAsiaTheme="minorHAnsi" w:cstheme="minorHAnsi"/>
          <w:lang w:val="en-US" w:eastAsia="en-US"/>
        </w:rPr>
        <w:t>significant shareholder and the minority shareholders</w:t>
      </w:r>
      <w:r>
        <w:rPr>
          <w:rFonts w:eastAsiaTheme="minorHAnsi" w:cstheme="minorHAnsi"/>
          <w:lang w:val="en-US" w:eastAsia="en-US"/>
        </w:rPr>
        <w:t xml:space="preserve"> </w:t>
      </w:r>
      <w:r w:rsidRPr="006F2ADE">
        <w:rPr>
          <w:rFonts w:eastAsiaTheme="minorHAnsi" w:cstheme="minorHAnsi"/>
          <w:lang w:val="en-US" w:eastAsia="en-US"/>
        </w:rPr>
        <w:t>is particularly delicate in SOEs</w:t>
      </w:r>
      <w:r w:rsidR="00E3561F">
        <w:rPr>
          <w:rFonts w:eastAsiaTheme="minorHAnsi" w:cstheme="minorHAnsi"/>
          <w:lang w:val="en-US" w:eastAsia="en-US"/>
        </w:rPr>
        <w:t>,</w:t>
      </w:r>
      <w:r w:rsidRPr="006F2ADE">
        <w:rPr>
          <w:rFonts w:eastAsiaTheme="minorHAnsi" w:cstheme="minorHAnsi"/>
          <w:lang w:val="en-US" w:eastAsia="en-US"/>
        </w:rPr>
        <w:t xml:space="preserve"> </w:t>
      </w:r>
      <w:r w:rsidR="00E3561F" w:rsidRPr="006F2ADE">
        <w:rPr>
          <w:rFonts w:eastAsiaTheme="minorHAnsi" w:cstheme="minorHAnsi"/>
          <w:lang w:val="en-US" w:eastAsia="en-US"/>
        </w:rPr>
        <w:t xml:space="preserve">especially </w:t>
      </w:r>
      <w:r w:rsidR="00E3561F">
        <w:rPr>
          <w:rFonts w:eastAsiaTheme="minorHAnsi" w:cstheme="minorHAnsi"/>
          <w:lang w:val="en-US" w:eastAsia="en-US"/>
        </w:rPr>
        <w:t>those</w:t>
      </w:r>
      <w:r w:rsidRPr="006F2ADE">
        <w:rPr>
          <w:rFonts w:eastAsiaTheme="minorHAnsi" w:cstheme="minorHAnsi"/>
          <w:lang w:val="en-US" w:eastAsia="en-US"/>
        </w:rPr>
        <w:t xml:space="preserve"> commercial </w:t>
      </w:r>
      <w:r w:rsidR="00C61E50">
        <w:rPr>
          <w:rFonts w:eastAsiaTheme="minorHAnsi" w:cstheme="minorHAnsi"/>
          <w:lang w:val="en-US" w:eastAsia="en-US"/>
        </w:rPr>
        <w:t>organizations</w:t>
      </w:r>
      <w:r w:rsidRPr="006F2ADE">
        <w:rPr>
          <w:rFonts w:eastAsiaTheme="minorHAnsi" w:cstheme="minorHAnsi"/>
          <w:lang w:val="en-US" w:eastAsia="en-US"/>
        </w:rPr>
        <w:t xml:space="preserve"> that are listed. As </w:t>
      </w:r>
      <w:r w:rsidR="00C61E50">
        <w:rPr>
          <w:rFonts w:eastAsiaTheme="minorHAnsi" w:cstheme="minorHAnsi"/>
          <w:lang w:val="en-US" w:eastAsia="en-US"/>
        </w:rPr>
        <w:t>the</w:t>
      </w:r>
      <w:r>
        <w:rPr>
          <w:rFonts w:eastAsiaTheme="minorHAnsi" w:cstheme="minorHAnsi"/>
          <w:lang w:val="en-US" w:eastAsia="en-US"/>
        </w:rPr>
        <w:t xml:space="preserve"> </w:t>
      </w:r>
      <w:r w:rsidRPr="006F2ADE">
        <w:rPr>
          <w:rFonts w:eastAsiaTheme="minorHAnsi" w:cstheme="minorHAnsi"/>
          <w:lang w:val="en-US" w:eastAsia="en-US"/>
        </w:rPr>
        <w:t>dominant shareholder, the state may be in a position</w:t>
      </w:r>
      <w:r>
        <w:rPr>
          <w:rFonts w:eastAsiaTheme="minorHAnsi" w:cstheme="minorHAnsi"/>
          <w:lang w:val="en-US" w:eastAsia="en-US"/>
        </w:rPr>
        <w:t xml:space="preserve"> </w:t>
      </w:r>
      <w:r w:rsidRPr="006F2ADE">
        <w:rPr>
          <w:rFonts w:eastAsiaTheme="minorHAnsi" w:cstheme="minorHAnsi"/>
          <w:lang w:val="en-US" w:eastAsia="en-US"/>
        </w:rPr>
        <w:t xml:space="preserve">to abuse minority shareholders as it is able to </w:t>
      </w:r>
      <w:r w:rsidR="002078F5">
        <w:rPr>
          <w:rFonts w:eastAsiaTheme="minorHAnsi" w:cstheme="minorHAnsi"/>
          <w:lang w:val="en-US" w:eastAsia="en-US"/>
        </w:rPr>
        <w:t>t</w:t>
      </w:r>
      <w:r w:rsidRPr="006F2ADE">
        <w:rPr>
          <w:rFonts w:eastAsiaTheme="minorHAnsi" w:cstheme="minorHAnsi"/>
          <w:lang w:val="en-US" w:eastAsia="en-US"/>
        </w:rPr>
        <w:t>ake</w:t>
      </w:r>
      <w:r>
        <w:rPr>
          <w:rFonts w:eastAsiaTheme="minorHAnsi" w:cstheme="minorHAnsi"/>
          <w:lang w:val="en-US" w:eastAsia="en-US"/>
        </w:rPr>
        <w:t xml:space="preserve"> </w:t>
      </w:r>
      <w:r w:rsidRPr="006F2ADE">
        <w:rPr>
          <w:rFonts w:eastAsiaTheme="minorHAnsi" w:cstheme="minorHAnsi"/>
          <w:lang w:val="en-US" w:eastAsia="en-US"/>
        </w:rPr>
        <w:t xml:space="preserve">decisions in </w:t>
      </w:r>
      <w:r w:rsidR="009D1364" w:rsidRPr="006F2ADE">
        <w:rPr>
          <w:rFonts w:eastAsiaTheme="minorHAnsi" w:cstheme="minorHAnsi"/>
          <w:lang w:val="en-US" w:eastAsia="en-US"/>
        </w:rPr>
        <w:t>general meetings</w:t>
      </w:r>
      <w:r w:rsidR="009D1364">
        <w:rPr>
          <w:rFonts w:eastAsiaTheme="minorHAnsi" w:cstheme="minorHAnsi"/>
          <w:lang w:val="en-US" w:eastAsia="en-US"/>
        </w:rPr>
        <w:t xml:space="preserve"> of shareholders</w:t>
      </w:r>
      <w:r>
        <w:rPr>
          <w:rFonts w:eastAsiaTheme="minorHAnsi" w:cstheme="minorHAnsi"/>
          <w:lang w:val="en-US" w:eastAsia="en-US"/>
        </w:rPr>
        <w:t xml:space="preserve"> </w:t>
      </w:r>
      <w:r w:rsidRPr="006F2ADE">
        <w:rPr>
          <w:rFonts w:eastAsiaTheme="minorHAnsi" w:cstheme="minorHAnsi"/>
          <w:lang w:val="en-US" w:eastAsia="en-US"/>
        </w:rPr>
        <w:t>without the approval of minority shareholders</w:t>
      </w:r>
      <w:r w:rsidR="00C61E50">
        <w:rPr>
          <w:rFonts w:eastAsiaTheme="minorHAnsi" w:cstheme="minorHAnsi"/>
          <w:lang w:val="en-US" w:eastAsia="en-US"/>
        </w:rPr>
        <w:t xml:space="preserve"> and i</w:t>
      </w:r>
      <w:r w:rsidRPr="006F2ADE">
        <w:rPr>
          <w:rFonts w:eastAsiaTheme="minorHAnsi" w:cstheme="minorHAnsi"/>
          <w:lang w:val="en-US" w:eastAsia="en-US"/>
        </w:rPr>
        <w:t>t is</w:t>
      </w:r>
      <w:r>
        <w:rPr>
          <w:rFonts w:eastAsiaTheme="minorHAnsi" w:cstheme="minorHAnsi"/>
          <w:lang w:val="en-US" w:eastAsia="en-US"/>
        </w:rPr>
        <w:t xml:space="preserve"> </w:t>
      </w:r>
      <w:r w:rsidRPr="006F2ADE">
        <w:rPr>
          <w:rFonts w:eastAsiaTheme="minorHAnsi" w:cstheme="minorHAnsi"/>
          <w:lang w:val="en-US" w:eastAsia="en-US"/>
        </w:rPr>
        <w:t>also usually in a position to control the board</w:t>
      </w:r>
      <w:r>
        <w:rPr>
          <w:rFonts w:eastAsiaTheme="minorHAnsi" w:cstheme="minorHAnsi"/>
          <w:lang w:val="en-US" w:eastAsia="en-US"/>
        </w:rPr>
        <w:t>’</w:t>
      </w:r>
      <w:r w:rsidRPr="006F2ADE">
        <w:rPr>
          <w:rFonts w:eastAsiaTheme="minorHAnsi" w:cstheme="minorHAnsi"/>
          <w:lang w:val="en-US" w:eastAsia="en-US"/>
        </w:rPr>
        <w:t>s composition.</w:t>
      </w:r>
      <w:r>
        <w:rPr>
          <w:rFonts w:eastAsiaTheme="minorHAnsi" w:cstheme="minorHAnsi"/>
          <w:lang w:val="en-US" w:eastAsia="en-US"/>
        </w:rPr>
        <w:t xml:space="preserve"> </w:t>
      </w:r>
      <w:r w:rsidRPr="006F2ADE">
        <w:rPr>
          <w:rFonts w:eastAsiaTheme="minorHAnsi" w:cstheme="minorHAnsi"/>
          <w:lang w:val="en-US" w:eastAsia="en-US"/>
        </w:rPr>
        <w:t>Moreover, the state is likely to have other</w:t>
      </w:r>
      <w:r>
        <w:rPr>
          <w:rFonts w:eastAsiaTheme="minorHAnsi" w:cstheme="minorHAnsi"/>
          <w:lang w:val="en-US" w:eastAsia="en-US"/>
        </w:rPr>
        <w:t xml:space="preserve"> </w:t>
      </w:r>
      <w:r w:rsidRPr="006F2ADE">
        <w:rPr>
          <w:rFonts w:eastAsiaTheme="minorHAnsi" w:cstheme="minorHAnsi"/>
          <w:lang w:val="en-US" w:eastAsia="en-US"/>
        </w:rPr>
        <w:t>political and policy objectives which might be implemented</w:t>
      </w:r>
      <w:r>
        <w:rPr>
          <w:rFonts w:eastAsiaTheme="minorHAnsi" w:cstheme="minorHAnsi"/>
          <w:lang w:val="en-US" w:eastAsia="en-US"/>
        </w:rPr>
        <w:t xml:space="preserve"> </w:t>
      </w:r>
      <w:r w:rsidRPr="006F2ADE">
        <w:rPr>
          <w:rFonts w:eastAsiaTheme="minorHAnsi" w:cstheme="minorHAnsi"/>
          <w:lang w:val="en-US" w:eastAsia="en-US"/>
        </w:rPr>
        <w:t>at a cost to the minority shareholders.</w:t>
      </w:r>
      <w:r w:rsidR="00E3561F">
        <w:rPr>
          <w:rFonts w:eastAsiaTheme="minorHAnsi" w:cstheme="minorHAnsi"/>
          <w:lang w:val="en-US" w:eastAsia="en-US"/>
        </w:rPr>
        <w:t xml:space="preserve"> </w:t>
      </w:r>
    </w:p>
    <w:p w:rsidR="003776E8" w:rsidRPr="00430C7D" w:rsidRDefault="00E3561F" w:rsidP="00877E7A">
      <w:pPr>
        <w:autoSpaceDE w:val="0"/>
        <w:autoSpaceDN w:val="0"/>
        <w:adjustRightInd w:val="0"/>
        <w:rPr>
          <w:rFonts w:eastAsiaTheme="minorHAnsi" w:cstheme="minorHAnsi"/>
          <w:lang w:val="en-US" w:eastAsia="en-US"/>
        </w:rPr>
      </w:pPr>
      <w:r>
        <w:rPr>
          <w:rFonts w:eastAsiaTheme="minorHAnsi" w:cstheme="minorHAnsi"/>
          <w:lang w:val="en-US" w:eastAsia="en-US"/>
        </w:rPr>
        <w:t>Good governance of SOEs is the key to protecting the interest of minority shareholders in SOEs</w:t>
      </w:r>
    </w:p>
    <w:p w:rsidR="00440098" w:rsidRDefault="00440098" w:rsidP="00877E7A">
      <w:pPr>
        <w:rPr>
          <w:bCs/>
          <w:lang w:val="en-US"/>
        </w:rPr>
      </w:pPr>
      <w:r>
        <w:rPr>
          <w:bCs/>
          <w:lang w:val="en-US"/>
        </w:rPr>
        <w:t>Given that managing</w:t>
      </w:r>
      <w:r w:rsidRPr="00430C7D">
        <w:rPr>
          <w:rFonts w:eastAsiaTheme="minorHAnsi" w:cstheme="minorHAnsi"/>
          <w:lang w:val="en-US" w:eastAsia="en-US"/>
        </w:rPr>
        <w:t xml:space="preserve"> multiple and potentially conflicting objectives is the </w:t>
      </w:r>
      <w:r>
        <w:rPr>
          <w:rFonts w:eastAsiaTheme="minorHAnsi" w:cstheme="minorHAnsi"/>
          <w:lang w:val="en-US" w:eastAsia="en-US"/>
        </w:rPr>
        <w:t>key</w:t>
      </w:r>
      <w:r w:rsidRPr="00430C7D">
        <w:rPr>
          <w:rFonts w:eastAsiaTheme="minorHAnsi" w:cstheme="minorHAnsi"/>
          <w:lang w:val="en-US" w:eastAsia="en-US"/>
        </w:rPr>
        <w:t xml:space="preserve"> challenge in the governance of SOEs</w:t>
      </w:r>
      <w:r>
        <w:rPr>
          <w:rFonts w:eastAsiaTheme="minorHAnsi" w:cstheme="minorHAnsi"/>
          <w:lang w:val="en-US" w:eastAsia="en-US"/>
        </w:rPr>
        <w:t xml:space="preserve"> it would appear to be more </w:t>
      </w:r>
      <w:r w:rsidR="002078F5">
        <w:rPr>
          <w:rFonts w:eastAsiaTheme="minorHAnsi" w:cstheme="minorHAnsi"/>
          <w:lang w:val="en-US" w:eastAsia="en-US"/>
        </w:rPr>
        <w:t xml:space="preserve">likely than not </w:t>
      </w:r>
      <w:r>
        <w:rPr>
          <w:rFonts w:eastAsiaTheme="minorHAnsi" w:cstheme="minorHAnsi"/>
          <w:lang w:val="en-US" w:eastAsia="en-US"/>
        </w:rPr>
        <w:t>that a SOE would not function as effectively as a private enterprise.</w:t>
      </w:r>
      <w:r w:rsidRPr="00A6566D">
        <w:rPr>
          <w:bCs/>
          <w:lang w:val="en-US"/>
        </w:rPr>
        <w:t xml:space="preserve"> </w:t>
      </w:r>
      <w:r>
        <w:rPr>
          <w:bCs/>
          <w:lang w:val="en-US"/>
        </w:rPr>
        <w:t xml:space="preserve"> A World Bank study</w:t>
      </w:r>
      <w:r>
        <w:rPr>
          <w:rStyle w:val="FootnoteReference"/>
          <w:bCs/>
          <w:lang w:val="en-US"/>
        </w:rPr>
        <w:footnoteReference w:id="33"/>
      </w:r>
      <w:r>
        <w:rPr>
          <w:bCs/>
          <w:lang w:val="en-US"/>
        </w:rPr>
        <w:t xml:space="preserve"> that reviewed empirical evidence from 1970s onwards found </w:t>
      </w:r>
      <w:r w:rsidR="002078F5">
        <w:rPr>
          <w:bCs/>
          <w:lang w:val="en-US"/>
        </w:rPr>
        <w:t xml:space="preserve">that a majority of empirical </w:t>
      </w:r>
      <w:r w:rsidR="002078F5" w:rsidRPr="00A6566D">
        <w:rPr>
          <w:rFonts w:eastAsiaTheme="minorHAnsi" w:cstheme="minorHAnsi"/>
          <w:lang w:val="en-US" w:eastAsia="en-US"/>
        </w:rPr>
        <w:t>studies</w:t>
      </w:r>
      <w:r w:rsidRPr="00A6566D">
        <w:rPr>
          <w:rFonts w:eastAsiaTheme="minorHAnsi" w:cstheme="minorHAnsi"/>
          <w:lang w:val="en-US" w:eastAsia="en-US"/>
        </w:rPr>
        <w:t xml:space="preserve"> </w:t>
      </w:r>
      <w:r w:rsidR="002078F5">
        <w:rPr>
          <w:rFonts w:eastAsiaTheme="minorHAnsi" w:cstheme="minorHAnsi"/>
          <w:lang w:val="en-US" w:eastAsia="en-US"/>
        </w:rPr>
        <w:t xml:space="preserve">supported the </w:t>
      </w:r>
      <w:r w:rsidR="006B3212" w:rsidRPr="00A6566D">
        <w:rPr>
          <w:rFonts w:eastAsiaTheme="minorHAnsi" w:cstheme="minorHAnsi"/>
          <w:lang w:val="en-US" w:eastAsia="en-US"/>
        </w:rPr>
        <w:t>superior performance</w:t>
      </w:r>
      <w:r w:rsidR="006B3212">
        <w:rPr>
          <w:rFonts w:eastAsiaTheme="minorHAnsi" w:cstheme="minorHAnsi"/>
          <w:lang w:val="en-US" w:eastAsia="en-US"/>
        </w:rPr>
        <w:t xml:space="preserve"> of private firms</w:t>
      </w:r>
      <w:r w:rsidRPr="00A6566D">
        <w:rPr>
          <w:rFonts w:eastAsiaTheme="minorHAnsi" w:cstheme="minorHAnsi"/>
          <w:lang w:val="en-US" w:eastAsia="en-US"/>
        </w:rPr>
        <w:t xml:space="preserve"> </w:t>
      </w:r>
      <w:r>
        <w:rPr>
          <w:rFonts w:eastAsiaTheme="minorHAnsi" w:cstheme="minorHAnsi"/>
          <w:lang w:val="en-US" w:eastAsia="en-US"/>
        </w:rPr>
        <w:t xml:space="preserve">and </w:t>
      </w:r>
      <w:r w:rsidR="006B3212">
        <w:rPr>
          <w:rFonts w:eastAsiaTheme="minorHAnsi" w:cstheme="minorHAnsi"/>
          <w:lang w:val="en-US" w:eastAsia="en-US"/>
        </w:rPr>
        <w:t xml:space="preserve">found </w:t>
      </w:r>
      <w:r>
        <w:rPr>
          <w:rFonts w:eastAsiaTheme="minorHAnsi" w:cstheme="minorHAnsi"/>
          <w:lang w:val="en-US" w:eastAsia="en-US"/>
        </w:rPr>
        <w:t xml:space="preserve">that even though there was </w:t>
      </w:r>
      <w:r w:rsidRPr="00A6566D">
        <w:rPr>
          <w:rFonts w:eastAsiaTheme="minorHAnsi" w:cstheme="minorHAnsi"/>
          <w:lang w:val="en-US" w:eastAsia="en-US"/>
        </w:rPr>
        <w:t xml:space="preserve">greater ambiguity about </w:t>
      </w:r>
      <w:r>
        <w:rPr>
          <w:rFonts w:eastAsiaTheme="minorHAnsi" w:cstheme="minorHAnsi"/>
          <w:lang w:val="en-US" w:eastAsia="en-US"/>
        </w:rPr>
        <w:t xml:space="preserve">the impact of </w:t>
      </w:r>
      <w:r w:rsidRPr="00A6566D">
        <w:rPr>
          <w:rFonts w:eastAsiaTheme="minorHAnsi" w:cstheme="minorHAnsi"/>
          <w:lang w:val="en-US" w:eastAsia="en-US"/>
        </w:rPr>
        <w:t>ownership</w:t>
      </w:r>
      <w:r>
        <w:rPr>
          <w:rFonts w:eastAsiaTheme="minorHAnsi" w:cstheme="minorHAnsi"/>
          <w:lang w:val="en-US" w:eastAsia="en-US"/>
        </w:rPr>
        <w:t xml:space="preserve"> on performance</w:t>
      </w:r>
      <w:r w:rsidRPr="00A6566D">
        <w:rPr>
          <w:rFonts w:eastAsiaTheme="minorHAnsi" w:cstheme="minorHAnsi"/>
          <w:lang w:val="en-US" w:eastAsia="en-US"/>
        </w:rPr>
        <w:t xml:space="preserve"> in theory</w:t>
      </w:r>
      <w:r>
        <w:rPr>
          <w:rFonts w:eastAsiaTheme="minorHAnsi" w:cstheme="minorHAnsi"/>
          <w:lang w:val="en-US" w:eastAsia="en-US"/>
        </w:rPr>
        <w:t xml:space="preserve">, the empirical evidence </w:t>
      </w:r>
      <w:r w:rsidR="002078F5">
        <w:rPr>
          <w:rFonts w:eastAsiaTheme="minorHAnsi" w:cstheme="minorHAnsi"/>
          <w:lang w:val="en-US" w:eastAsia="en-US"/>
        </w:rPr>
        <w:t xml:space="preserve">largely </w:t>
      </w:r>
      <w:r w:rsidR="006B3212">
        <w:rPr>
          <w:rFonts w:eastAsiaTheme="minorHAnsi" w:cstheme="minorHAnsi"/>
          <w:lang w:val="en-US" w:eastAsia="en-US"/>
        </w:rPr>
        <w:t xml:space="preserve">supported the hypothesis </w:t>
      </w:r>
      <w:r>
        <w:rPr>
          <w:rFonts w:eastAsiaTheme="minorHAnsi" w:cstheme="minorHAnsi"/>
          <w:lang w:val="en-US" w:eastAsia="en-US"/>
        </w:rPr>
        <w:t xml:space="preserve">that </w:t>
      </w:r>
      <w:r w:rsidRPr="00A6566D">
        <w:rPr>
          <w:rFonts w:eastAsiaTheme="minorHAnsi" w:cstheme="minorHAnsi"/>
          <w:lang w:val="en-US" w:eastAsia="en-US"/>
        </w:rPr>
        <w:t>private</w:t>
      </w:r>
      <w:r>
        <w:rPr>
          <w:rFonts w:eastAsiaTheme="minorHAnsi" w:cstheme="minorHAnsi"/>
          <w:lang w:val="en-US" w:eastAsia="en-US"/>
        </w:rPr>
        <w:t xml:space="preserve"> </w:t>
      </w:r>
      <w:r w:rsidRPr="00A6566D">
        <w:rPr>
          <w:rFonts w:eastAsiaTheme="minorHAnsi" w:cstheme="minorHAnsi"/>
          <w:lang w:val="en-US" w:eastAsia="en-US"/>
        </w:rPr>
        <w:t>firm</w:t>
      </w:r>
      <w:r w:rsidR="001F3FB2">
        <w:rPr>
          <w:rFonts w:eastAsiaTheme="minorHAnsi" w:cstheme="minorHAnsi"/>
          <w:lang w:val="en-US" w:eastAsia="en-US"/>
        </w:rPr>
        <w:t>s</w:t>
      </w:r>
      <w:r w:rsidRPr="00A6566D">
        <w:rPr>
          <w:rFonts w:eastAsiaTheme="minorHAnsi" w:cstheme="minorHAnsi"/>
          <w:lang w:val="en-US" w:eastAsia="en-US"/>
        </w:rPr>
        <w:t xml:space="preserve"> w</w:t>
      </w:r>
      <w:r w:rsidR="001F3FB2">
        <w:rPr>
          <w:rFonts w:eastAsiaTheme="minorHAnsi" w:cstheme="minorHAnsi"/>
          <w:lang w:val="en-US" w:eastAsia="en-US"/>
        </w:rPr>
        <w:t>ould</w:t>
      </w:r>
      <w:r w:rsidRPr="00A6566D">
        <w:rPr>
          <w:rFonts w:eastAsiaTheme="minorHAnsi" w:cstheme="minorHAnsi"/>
          <w:lang w:val="en-US" w:eastAsia="en-US"/>
        </w:rPr>
        <w:t xml:space="preserve"> outperform </w:t>
      </w:r>
      <w:r w:rsidR="006B3212" w:rsidRPr="00A6566D">
        <w:rPr>
          <w:rFonts w:eastAsiaTheme="minorHAnsi" w:cstheme="minorHAnsi"/>
          <w:lang w:val="en-US" w:eastAsia="en-US"/>
        </w:rPr>
        <w:t>SOEs</w:t>
      </w:r>
      <w:r w:rsidR="002078F5">
        <w:rPr>
          <w:rFonts w:eastAsiaTheme="minorHAnsi" w:cstheme="minorHAnsi"/>
          <w:lang w:val="en-US" w:eastAsia="en-US"/>
        </w:rPr>
        <w:t xml:space="preserve">. A similar study over OECD countries , however, showed contrary findings </w:t>
      </w:r>
      <w:r w:rsidR="006B3212">
        <w:rPr>
          <w:rStyle w:val="FootnoteReference"/>
          <w:rFonts w:eastAsiaTheme="minorHAnsi" w:cstheme="minorHAnsi"/>
          <w:lang w:val="en-US" w:eastAsia="en-US"/>
        </w:rPr>
        <w:footnoteReference w:id="34"/>
      </w:r>
      <w:r w:rsidRPr="00A6566D">
        <w:rPr>
          <w:rFonts w:eastAsiaTheme="minorHAnsi" w:cstheme="minorHAnsi"/>
          <w:lang w:val="en-US" w:eastAsia="en-US"/>
        </w:rPr>
        <w:t xml:space="preserve">. </w:t>
      </w:r>
    </w:p>
    <w:p w:rsidR="008C1E07" w:rsidRPr="00F737D4" w:rsidRDefault="00F737D4" w:rsidP="00877E7A">
      <w:pPr>
        <w:rPr>
          <w:rFonts w:ascii="Times-Roman" w:eastAsiaTheme="minorHAnsi" w:hAnsi="Times-Roman" w:cs="Times-Roman"/>
          <w:color w:val="231F20"/>
          <w:sz w:val="18"/>
          <w:szCs w:val="18"/>
          <w:lang w:val="en-US" w:eastAsia="en-US"/>
        </w:rPr>
      </w:pPr>
      <w:r w:rsidRPr="00F737D4">
        <w:rPr>
          <w:bCs/>
          <w:lang w:val="en-US"/>
        </w:rPr>
        <w:t>S</w:t>
      </w:r>
      <w:r w:rsidR="00BA4DCE" w:rsidRPr="00F737D4">
        <w:rPr>
          <w:bCs/>
          <w:lang w:val="en-US"/>
        </w:rPr>
        <w:t xml:space="preserve">cholars and practitioners </w:t>
      </w:r>
      <w:r w:rsidR="008C1E07" w:rsidRPr="00F737D4">
        <w:rPr>
          <w:bCs/>
          <w:lang w:val="en-US"/>
        </w:rPr>
        <w:t>have suggested that</w:t>
      </w:r>
      <w:r w:rsidR="00BA4DCE" w:rsidRPr="00F737D4">
        <w:rPr>
          <w:bCs/>
          <w:lang w:val="en-US"/>
        </w:rPr>
        <w:t xml:space="preserve"> the main governance problem in </w:t>
      </w:r>
      <w:r w:rsidRPr="00F737D4">
        <w:rPr>
          <w:bCs/>
          <w:lang w:val="en-US"/>
        </w:rPr>
        <w:t>an organization characterized by a dominant shareholder</w:t>
      </w:r>
      <w:r w:rsidR="00440098">
        <w:rPr>
          <w:bCs/>
          <w:lang w:val="en-US"/>
        </w:rPr>
        <w:t xml:space="preserve"> (as in the case of a SOE</w:t>
      </w:r>
      <w:r w:rsidR="00FE1562">
        <w:rPr>
          <w:bCs/>
          <w:lang w:val="en-US"/>
        </w:rPr>
        <w:t xml:space="preserve"> where the state is the dominant shareholder</w:t>
      </w:r>
      <w:r w:rsidR="00B82F49">
        <w:rPr>
          <w:bCs/>
          <w:lang w:val="en-US"/>
        </w:rPr>
        <w:t xml:space="preserve">) </w:t>
      </w:r>
      <w:r w:rsidR="00B82F49" w:rsidRPr="00F737D4">
        <w:rPr>
          <w:bCs/>
          <w:lang w:val="en-US"/>
        </w:rPr>
        <w:t>is</w:t>
      </w:r>
      <w:r w:rsidR="00BA4DCE" w:rsidRPr="00F737D4">
        <w:rPr>
          <w:bCs/>
          <w:lang w:val="en-US"/>
        </w:rPr>
        <w:t xml:space="preserve"> the squeeze-out of minority shareholders by the controlling shareholder</w:t>
      </w:r>
      <w:r w:rsidR="00FE1562">
        <w:rPr>
          <w:bCs/>
          <w:lang w:val="en-US"/>
        </w:rPr>
        <w:t xml:space="preserve"> and, </w:t>
      </w:r>
      <w:r w:rsidR="00FE1562" w:rsidRPr="00F737D4">
        <w:rPr>
          <w:bCs/>
          <w:lang w:val="en-US"/>
        </w:rPr>
        <w:t>as</w:t>
      </w:r>
      <w:r w:rsidR="00BA4DCE" w:rsidRPr="00F737D4">
        <w:rPr>
          <w:bCs/>
          <w:lang w:val="en-US"/>
        </w:rPr>
        <w:t xml:space="preserve"> a solution</w:t>
      </w:r>
      <w:r w:rsidR="00FE1562">
        <w:rPr>
          <w:bCs/>
          <w:lang w:val="en-US"/>
        </w:rPr>
        <w:t>,</w:t>
      </w:r>
      <w:r w:rsidR="00BA4DCE" w:rsidRPr="00F737D4">
        <w:rPr>
          <w:bCs/>
          <w:lang w:val="en-US"/>
        </w:rPr>
        <w:t xml:space="preserve"> </w:t>
      </w:r>
      <w:r w:rsidR="00C56E33" w:rsidRPr="00F737D4">
        <w:rPr>
          <w:bCs/>
          <w:lang w:val="en-US"/>
        </w:rPr>
        <w:t xml:space="preserve">it is </w:t>
      </w:r>
      <w:r w:rsidR="008C1E07" w:rsidRPr="00F737D4">
        <w:rPr>
          <w:bCs/>
          <w:lang w:val="en-US"/>
        </w:rPr>
        <w:t xml:space="preserve">usually </w:t>
      </w:r>
      <w:r w:rsidR="00BA4DCE" w:rsidRPr="00F737D4">
        <w:rPr>
          <w:bCs/>
          <w:lang w:val="en-US"/>
        </w:rPr>
        <w:t>recommend</w:t>
      </w:r>
      <w:r w:rsidR="00C56E33" w:rsidRPr="00F737D4">
        <w:rPr>
          <w:bCs/>
          <w:lang w:val="en-US"/>
        </w:rPr>
        <w:t>ed</w:t>
      </w:r>
      <w:r w:rsidR="00BA4DCE" w:rsidRPr="00F737D4">
        <w:rPr>
          <w:bCs/>
          <w:lang w:val="en-US"/>
        </w:rPr>
        <w:t xml:space="preserve"> that the main shareholder </w:t>
      </w:r>
      <w:r w:rsidRPr="00F737D4">
        <w:rPr>
          <w:bCs/>
          <w:lang w:val="en-US"/>
        </w:rPr>
        <w:t xml:space="preserve">should </w:t>
      </w:r>
      <w:r w:rsidR="00BA4DCE" w:rsidRPr="00F737D4">
        <w:rPr>
          <w:bCs/>
          <w:lang w:val="en-US"/>
        </w:rPr>
        <w:t>surrender some control to minority shareholders at the outset</w:t>
      </w:r>
      <w:r w:rsidR="00C56E33" w:rsidRPr="00F737D4">
        <w:rPr>
          <w:bCs/>
          <w:lang w:val="en-US"/>
        </w:rPr>
        <w:t>; with</w:t>
      </w:r>
      <w:r w:rsidR="00BA4DCE" w:rsidRPr="00F737D4">
        <w:rPr>
          <w:bCs/>
          <w:lang w:val="en-US"/>
        </w:rPr>
        <w:t xml:space="preserve"> shared control rights, no shareholder can take unilateral actions for h</w:t>
      </w:r>
      <w:r w:rsidR="00C56E33" w:rsidRPr="00F737D4">
        <w:rPr>
          <w:bCs/>
          <w:lang w:val="en-US"/>
        </w:rPr>
        <w:t>is</w:t>
      </w:r>
      <w:r w:rsidR="00BA4DCE" w:rsidRPr="00F737D4">
        <w:rPr>
          <w:bCs/>
          <w:lang w:val="en-US"/>
        </w:rPr>
        <w:t xml:space="preserve"> own benefit at the expense of the firm and other </w:t>
      </w:r>
      <w:r w:rsidR="00B82F49" w:rsidRPr="00F737D4">
        <w:rPr>
          <w:bCs/>
          <w:lang w:val="en-US"/>
        </w:rPr>
        <w:t>shareholders</w:t>
      </w:r>
      <w:r w:rsidR="00FE1562">
        <w:rPr>
          <w:rStyle w:val="FootnoteReference"/>
          <w:bCs/>
          <w:lang w:val="en-US"/>
        </w:rPr>
        <w:footnoteReference w:id="35"/>
      </w:r>
      <w:r w:rsidR="00BA4DCE" w:rsidRPr="00F737D4">
        <w:rPr>
          <w:bCs/>
          <w:lang w:val="en-US"/>
        </w:rPr>
        <w:t>.</w:t>
      </w:r>
      <w:r w:rsidR="00BA4DCE" w:rsidRPr="00F737D4">
        <w:rPr>
          <w:rFonts w:ascii="Times-Roman" w:eastAsiaTheme="minorHAnsi" w:hAnsi="Times-Roman" w:cs="Times-Roman"/>
          <w:color w:val="231F20"/>
          <w:sz w:val="18"/>
          <w:szCs w:val="18"/>
          <w:lang w:val="en-US" w:eastAsia="en-US"/>
        </w:rPr>
        <w:t xml:space="preserve"> </w:t>
      </w:r>
      <w:r w:rsidR="00C56E33" w:rsidRPr="00F737D4">
        <w:rPr>
          <w:rFonts w:ascii="Times-Roman" w:eastAsiaTheme="minorHAnsi" w:hAnsi="Times-Roman" w:cs="Times-Roman"/>
          <w:color w:val="231F20"/>
          <w:sz w:val="18"/>
          <w:szCs w:val="18"/>
          <w:lang w:val="en-US" w:eastAsia="en-US"/>
        </w:rPr>
        <w:t xml:space="preserve"> </w:t>
      </w:r>
    </w:p>
    <w:p w:rsidR="008C1E07" w:rsidRPr="001D2D82" w:rsidRDefault="00C56E33" w:rsidP="00877E7A">
      <w:pPr>
        <w:rPr>
          <w:bCs/>
          <w:lang w:val="en-US"/>
        </w:rPr>
      </w:pPr>
      <w:r w:rsidRPr="001D2D82">
        <w:rPr>
          <w:rFonts w:eastAsiaTheme="minorHAnsi" w:cstheme="minorHAnsi"/>
          <w:color w:val="231F20"/>
          <w:lang w:val="en-US" w:eastAsia="en-US"/>
        </w:rPr>
        <w:t>Venky</w:t>
      </w:r>
      <w:r w:rsidR="008C1E07" w:rsidRPr="001D2D82">
        <w:rPr>
          <w:rFonts w:eastAsiaTheme="minorHAnsi" w:cstheme="minorHAnsi"/>
          <w:color w:val="231F20"/>
          <w:lang w:val="en-US" w:eastAsia="en-US"/>
        </w:rPr>
        <w:t xml:space="preserve"> N</w:t>
      </w:r>
      <w:r w:rsidRPr="001D2D82">
        <w:rPr>
          <w:rFonts w:eastAsiaTheme="minorHAnsi" w:cstheme="minorHAnsi"/>
          <w:color w:val="231F20"/>
          <w:lang w:val="en-US" w:eastAsia="en-US"/>
        </w:rPr>
        <w:t>agar et al</w:t>
      </w:r>
      <w:r w:rsidRPr="001D2D82">
        <w:rPr>
          <w:rStyle w:val="FootnoteReference"/>
          <w:rFonts w:eastAsiaTheme="minorHAnsi" w:cstheme="minorHAnsi"/>
          <w:color w:val="231F20"/>
          <w:lang w:val="en-US" w:eastAsia="en-US"/>
        </w:rPr>
        <w:footnoteReference w:id="36"/>
      </w:r>
      <w:r w:rsidRPr="001D2D82">
        <w:rPr>
          <w:rFonts w:eastAsiaTheme="minorHAnsi" w:cstheme="minorHAnsi"/>
          <w:color w:val="231F20"/>
          <w:lang w:val="en-US" w:eastAsia="en-US"/>
        </w:rPr>
        <w:t xml:space="preserve">   t</w:t>
      </w:r>
      <w:r w:rsidR="00BA4DCE" w:rsidRPr="001D2D82">
        <w:rPr>
          <w:bCs/>
          <w:lang w:val="en-US"/>
        </w:rPr>
        <w:t>est</w:t>
      </w:r>
      <w:r w:rsidRPr="001D2D82">
        <w:rPr>
          <w:bCs/>
          <w:lang w:val="en-US"/>
        </w:rPr>
        <w:t>ed</w:t>
      </w:r>
      <w:r w:rsidR="00BA4DCE" w:rsidRPr="001D2D82">
        <w:rPr>
          <w:bCs/>
          <w:lang w:val="en-US"/>
        </w:rPr>
        <w:t xml:space="preserve"> this proposition on a large data set of closely held corporations and f</w:t>
      </w:r>
      <w:r w:rsidR="001D2D82">
        <w:rPr>
          <w:bCs/>
          <w:lang w:val="en-US"/>
        </w:rPr>
        <w:t>ound</w:t>
      </w:r>
      <w:r w:rsidR="00BA4DCE" w:rsidRPr="001D2D82">
        <w:rPr>
          <w:bCs/>
          <w:lang w:val="en-US"/>
        </w:rPr>
        <w:t xml:space="preserve"> that shared-ownership firms report</w:t>
      </w:r>
      <w:r w:rsidR="001D2D82">
        <w:rPr>
          <w:bCs/>
          <w:lang w:val="en-US"/>
        </w:rPr>
        <w:t>ed</w:t>
      </w:r>
      <w:r w:rsidR="00BA4DCE" w:rsidRPr="001D2D82">
        <w:rPr>
          <w:bCs/>
          <w:lang w:val="en-US"/>
        </w:rPr>
        <w:t xml:space="preserve"> a substantially larger return on assets and lower expense-to-sales ratios</w:t>
      </w:r>
      <w:r w:rsidR="002078F5">
        <w:rPr>
          <w:bCs/>
          <w:lang w:val="en-US"/>
        </w:rPr>
        <w:t>. They</w:t>
      </w:r>
      <w:r w:rsidR="008C1E07" w:rsidRPr="001D2D82">
        <w:rPr>
          <w:bCs/>
          <w:lang w:val="en-US"/>
        </w:rPr>
        <w:t xml:space="preserve"> </w:t>
      </w:r>
      <w:r w:rsidR="001D2D82" w:rsidRPr="001D2D82">
        <w:rPr>
          <w:bCs/>
          <w:lang w:val="en-US"/>
        </w:rPr>
        <w:t>provid</w:t>
      </w:r>
      <w:r w:rsidR="002078F5">
        <w:rPr>
          <w:bCs/>
          <w:lang w:val="en-US"/>
        </w:rPr>
        <w:t>ed</w:t>
      </w:r>
      <w:r w:rsidR="001D2D82">
        <w:rPr>
          <w:bCs/>
          <w:lang w:val="en-US"/>
        </w:rPr>
        <w:t xml:space="preserve"> </w:t>
      </w:r>
      <w:r w:rsidR="001D2D82" w:rsidRPr="001D2D82">
        <w:rPr>
          <w:bCs/>
          <w:lang w:val="en-US"/>
        </w:rPr>
        <w:t>evidence</w:t>
      </w:r>
      <w:r w:rsidR="008C1E07" w:rsidRPr="001D2D82">
        <w:rPr>
          <w:bCs/>
          <w:lang w:val="en-US"/>
        </w:rPr>
        <w:t xml:space="preserve"> on the presence of governance problems and the effectiveness of shared ownership as a solution in settings characterized by illiquidity of ownership.</w:t>
      </w:r>
    </w:p>
    <w:p w:rsidR="00B82F49" w:rsidRPr="009D1364" w:rsidRDefault="00B82F49" w:rsidP="00877E7A">
      <w:pPr>
        <w:autoSpaceDE w:val="0"/>
        <w:autoSpaceDN w:val="0"/>
        <w:adjustRightInd w:val="0"/>
        <w:rPr>
          <w:rFonts w:cstheme="minorHAnsi"/>
          <w:bCs/>
          <w:lang w:val="en-US"/>
        </w:rPr>
      </w:pPr>
      <w:r w:rsidRPr="009D1364">
        <w:rPr>
          <w:rFonts w:cstheme="minorHAnsi"/>
          <w:bCs/>
          <w:lang w:val="en-US"/>
        </w:rPr>
        <w:lastRenderedPageBreak/>
        <w:t xml:space="preserve">It </w:t>
      </w:r>
      <w:r w:rsidR="006F2ADE" w:rsidRPr="009D1364">
        <w:rPr>
          <w:rFonts w:cstheme="minorHAnsi"/>
          <w:bCs/>
          <w:lang w:val="en-US"/>
        </w:rPr>
        <w:t>follows,</w:t>
      </w:r>
      <w:r w:rsidRPr="009D1364">
        <w:rPr>
          <w:rFonts w:cstheme="minorHAnsi"/>
          <w:bCs/>
          <w:lang w:val="en-US"/>
        </w:rPr>
        <w:t xml:space="preserve"> therefore, that a state owned enterprise that respects the rights of the minority shareholders would end up creating better value for the enterprise since its focus would be solely on enhancing the value of the business.</w:t>
      </w:r>
      <w:r w:rsidR="00350B08" w:rsidRPr="009D1364">
        <w:rPr>
          <w:rFonts w:eastAsiaTheme="minorHAnsi" w:cstheme="minorHAnsi"/>
          <w:sz w:val="21"/>
          <w:szCs w:val="21"/>
          <w:lang w:val="en-US" w:eastAsia="en-US"/>
        </w:rPr>
        <w:t xml:space="preserve"> </w:t>
      </w:r>
      <w:r w:rsidR="00C61E50" w:rsidRPr="009D1364">
        <w:rPr>
          <w:rFonts w:eastAsiaTheme="minorHAnsi" w:cstheme="minorHAnsi"/>
          <w:sz w:val="21"/>
          <w:szCs w:val="21"/>
          <w:lang w:val="en-US" w:eastAsia="en-US"/>
        </w:rPr>
        <w:t>Moreover, it needs to be appreciated that w</w:t>
      </w:r>
      <w:r w:rsidR="00350B08" w:rsidRPr="009D1364">
        <w:rPr>
          <w:rFonts w:cstheme="minorHAnsi"/>
          <w:bCs/>
          <w:lang w:val="en-US"/>
        </w:rPr>
        <w:t xml:space="preserve">hen an SOE sells shares to the public, it </w:t>
      </w:r>
      <w:r w:rsidR="00C61E50" w:rsidRPr="009D1364">
        <w:rPr>
          <w:rFonts w:cstheme="minorHAnsi"/>
          <w:bCs/>
          <w:lang w:val="en-US"/>
        </w:rPr>
        <w:t xml:space="preserve">also </w:t>
      </w:r>
      <w:r w:rsidR="00350B08" w:rsidRPr="009D1364">
        <w:rPr>
          <w:rFonts w:cstheme="minorHAnsi"/>
          <w:bCs/>
          <w:lang w:val="en-US"/>
        </w:rPr>
        <w:t>takes on the obligations of other listed companies</w:t>
      </w:r>
      <w:r w:rsidR="00C61E50" w:rsidRPr="009D1364">
        <w:rPr>
          <w:rFonts w:cstheme="minorHAnsi"/>
          <w:bCs/>
          <w:lang w:val="en-US"/>
        </w:rPr>
        <w:t xml:space="preserve"> and m</w:t>
      </w:r>
      <w:r w:rsidR="00350B08" w:rsidRPr="009D1364">
        <w:rPr>
          <w:rFonts w:cstheme="minorHAnsi"/>
          <w:bCs/>
          <w:lang w:val="en-US"/>
        </w:rPr>
        <w:t>inority shareholders in state-controlled companies have the same legal rights that shareholders in other</w:t>
      </w:r>
      <w:r w:rsidR="00D27C67">
        <w:rPr>
          <w:rFonts w:cstheme="minorHAnsi"/>
          <w:bCs/>
          <w:lang w:val="en-US"/>
        </w:rPr>
        <w:t xml:space="preserve"> listed </w:t>
      </w:r>
      <w:r w:rsidR="00350B08" w:rsidRPr="009D1364">
        <w:rPr>
          <w:rFonts w:cstheme="minorHAnsi"/>
          <w:bCs/>
          <w:lang w:val="en-US"/>
        </w:rPr>
        <w:t xml:space="preserve">companies </w:t>
      </w:r>
      <w:r w:rsidR="00D27C67">
        <w:rPr>
          <w:rFonts w:cstheme="minorHAnsi"/>
          <w:bCs/>
          <w:lang w:val="en-US"/>
        </w:rPr>
        <w:t xml:space="preserve">have and </w:t>
      </w:r>
      <w:r w:rsidR="00350B08" w:rsidRPr="009D1364">
        <w:rPr>
          <w:rFonts w:cstheme="minorHAnsi"/>
          <w:bCs/>
          <w:lang w:val="en-US"/>
        </w:rPr>
        <w:t xml:space="preserve">law </w:t>
      </w:r>
      <w:r w:rsidR="00D27C67">
        <w:rPr>
          <w:rFonts w:cstheme="minorHAnsi"/>
          <w:bCs/>
          <w:lang w:val="en-US"/>
        </w:rPr>
        <w:t>&amp;</w:t>
      </w:r>
      <w:r w:rsidR="00350B08" w:rsidRPr="009D1364">
        <w:rPr>
          <w:rFonts w:cstheme="minorHAnsi"/>
          <w:bCs/>
          <w:lang w:val="en-US"/>
        </w:rPr>
        <w:t xml:space="preserve"> good practice indicate that they should be treated equally. Not only does this imply that the state</w:t>
      </w:r>
      <w:r w:rsidR="00D27C67">
        <w:rPr>
          <w:rFonts w:cstheme="minorHAnsi"/>
          <w:bCs/>
          <w:lang w:val="en-US"/>
        </w:rPr>
        <w:t xml:space="preserve"> should</w:t>
      </w:r>
      <w:r w:rsidR="00350B08" w:rsidRPr="009D1364">
        <w:rPr>
          <w:rFonts w:cstheme="minorHAnsi"/>
          <w:bCs/>
          <w:lang w:val="en-US"/>
        </w:rPr>
        <w:t xml:space="preserve"> avoid using its power to abuse minority shareholders, but that it </w:t>
      </w:r>
      <w:r w:rsidR="00C61E50" w:rsidRPr="009D1364">
        <w:rPr>
          <w:rFonts w:cstheme="minorHAnsi"/>
          <w:bCs/>
          <w:lang w:val="en-US"/>
        </w:rPr>
        <w:t xml:space="preserve">should </w:t>
      </w:r>
      <w:r w:rsidR="00350B08" w:rsidRPr="009D1364">
        <w:rPr>
          <w:rFonts w:cstheme="minorHAnsi"/>
          <w:bCs/>
          <w:lang w:val="en-US"/>
        </w:rPr>
        <w:t>exercise</w:t>
      </w:r>
      <w:r w:rsidR="00C61E50" w:rsidRPr="009D1364">
        <w:rPr>
          <w:rFonts w:cstheme="minorHAnsi"/>
          <w:bCs/>
          <w:lang w:val="en-US"/>
        </w:rPr>
        <w:t xml:space="preserve"> its</w:t>
      </w:r>
      <w:r w:rsidR="00350B08" w:rsidRPr="009D1364">
        <w:rPr>
          <w:rFonts w:cstheme="minorHAnsi"/>
          <w:bCs/>
          <w:lang w:val="en-US"/>
        </w:rPr>
        <w:t xml:space="preserve"> policy objectives in a way that preserves the legal rights of other shareholders </w:t>
      </w:r>
      <w:r w:rsidR="00D27C67" w:rsidRPr="009D1364">
        <w:rPr>
          <w:rFonts w:cstheme="minorHAnsi"/>
          <w:bCs/>
          <w:lang w:val="en-US"/>
        </w:rPr>
        <w:t>and board</w:t>
      </w:r>
      <w:r w:rsidR="00350B08" w:rsidRPr="009D1364">
        <w:rPr>
          <w:rFonts w:cstheme="minorHAnsi"/>
          <w:bCs/>
          <w:lang w:val="en-US"/>
        </w:rPr>
        <w:t xml:space="preserve"> members </w:t>
      </w:r>
      <w:r w:rsidR="00D27C67">
        <w:rPr>
          <w:rFonts w:cstheme="minorHAnsi"/>
          <w:bCs/>
          <w:lang w:val="en-US"/>
        </w:rPr>
        <w:t xml:space="preserve">of the SOE should </w:t>
      </w:r>
      <w:r w:rsidR="00350B08" w:rsidRPr="009D1364">
        <w:rPr>
          <w:rFonts w:cstheme="minorHAnsi"/>
          <w:bCs/>
          <w:lang w:val="en-US"/>
        </w:rPr>
        <w:t>serv</w:t>
      </w:r>
      <w:r w:rsidR="00C61E50" w:rsidRPr="009D1364">
        <w:rPr>
          <w:rFonts w:cstheme="minorHAnsi"/>
          <w:bCs/>
          <w:lang w:val="en-US"/>
        </w:rPr>
        <w:t>e i</w:t>
      </w:r>
      <w:r w:rsidR="00350B08" w:rsidRPr="009D1364">
        <w:rPr>
          <w:rFonts w:cstheme="minorHAnsi"/>
          <w:bCs/>
          <w:lang w:val="en-US"/>
        </w:rPr>
        <w:t xml:space="preserve">n the interest of all shareholders. To ensure the confidence of outside investors, special measures may </w:t>
      </w:r>
      <w:r w:rsidR="00C61E50" w:rsidRPr="009D1364">
        <w:rPr>
          <w:rFonts w:cstheme="minorHAnsi"/>
          <w:bCs/>
          <w:lang w:val="en-US"/>
        </w:rPr>
        <w:t xml:space="preserve">even </w:t>
      </w:r>
      <w:r w:rsidR="00350B08" w:rsidRPr="009D1364">
        <w:rPr>
          <w:rFonts w:cstheme="minorHAnsi"/>
          <w:bCs/>
          <w:lang w:val="en-US"/>
        </w:rPr>
        <w:t xml:space="preserve">be warranted to ensure equal treatment of shareholders. </w:t>
      </w:r>
    </w:p>
    <w:p w:rsidR="003776E8" w:rsidRDefault="007579A7" w:rsidP="00877E7A">
      <w:pPr>
        <w:autoSpaceDE w:val="0"/>
        <w:autoSpaceDN w:val="0"/>
        <w:adjustRightInd w:val="0"/>
        <w:rPr>
          <w:bCs/>
          <w:lang w:val="en-US"/>
        </w:rPr>
      </w:pPr>
      <w:r>
        <w:rPr>
          <w:bCs/>
          <w:lang w:val="en-US"/>
        </w:rPr>
        <w:t>In an attempt to</w:t>
      </w:r>
      <w:r w:rsidR="009D1364">
        <w:rPr>
          <w:bCs/>
          <w:lang w:val="en-US"/>
        </w:rPr>
        <w:t xml:space="preserve"> establish the </w:t>
      </w:r>
      <w:r>
        <w:rPr>
          <w:bCs/>
          <w:lang w:val="en-US"/>
        </w:rPr>
        <w:t xml:space="preserve"> best practice</w:t>
      </w:r>
      <w:r w:rsidR="009D1364">
        <w:rPr>
          <w:bCs/>
          <w:lang w:val="en-US"/>
        </w:rPr>
        <w:t>s for managing minority shareholder interests</w:t>
      </w:r>
      <w:r>
        <w:rPr>
          <w:bCs/>
          <w:lang w:val="en-US"/>
        </w:rPr>
        <w:t xml:space="preserve">, </w:t>
      </w:r>
      <w:r w:rsidR="00E75E83">
        <w:rPr>
          <w:bCs/>
          <w:lang w:val="en-US"/>
        </w:rPr>
        <w:t>a research</w:t>
      </w:r>
      <w:r>
        <w:rPr>
          <w:bCs/>
          <w:lang w:val="en-US"/>
        </w:rPr>
        <w:t xml:space="preserve"> report published by the </w:t>
      </w:r>
      <w:r w:rsidR="003776E8">
        <w:rPr>
          <w:bCs/>
          <w:lang w:val="en-US"/>
        </w:rPr>
        <w:t>OECD</w:t>
      </w:r>
      <w:r>
        <w:rPr>
          <w:rStyle w:val="FootnoteReference"/>
          <w:bCs/>
          <w:lang w:val="en-US"/>
        </w:rPr>
        <w:footnoteReference w:id="37"/>
      </w:r>
      <w:r w:rsidR="003776E8">
        <w:rPr>
          <w:bCs/>
          <w:lang w:val="en-US"/>
        </w:rPr>
        <w:t xml:space="preserve"> </w:t>
      </w:r>
      <w:r>
        <w:rPr>
          <w:bCs/>
          <w:lang w:val="en-US"/>
        </w:rPr>
        <w:t xml:space="preserve">reviewed the relationship of state owned enterprises with other shareholders on the </w:t>
      </w:r>
      <w:r w:rsidR="006B3212">
        <w:rPr>
          <w:bCs/>
          <w:lang w:val="en-US"/>
        </w:rPr>
        <w:t>various parameters that impact the rights of the minority shareholders</w:t>
      </w:r>
      <w:r w:rsidR="009D1364">
        <w:rPr>
          <w:bCs/>
          <w:lang w:val="en-US"/>
        </w:rPr>
        <w:t xml:space="preserve"> and identified the following trends</w:t>
      </w:r>
      <w:r>
        <w:rPr>
          <w:bCs/>
          <w:lang w:val="en-US"/>
        </w:rPr>
        <w:t xml:space="preserve">;  </w:t>
      </w:r>
    </w:p>
    <w:p w:rsidR="006F2ADE" w:rsidRPr="00C61E50" w:rsidRDefault="006F2ADE" w:rsidP="00877E7A">
      <w:pPr>
        <w:pStyle w:val="ListParagraph"/>
        <w:numPr>
          <w:ilvl w:val="0"/>
          <w:numId w:val="29"/>
        </w:numPr>
        <w:rPr>
          <w:rFonts w:eastAsiaTheme="minorHAnsi" w:cstheme="minorHAnsi"/>
          <w:lang w:val="en-US" w:eastAsia="en-US"/>
        </w:rPr>
      </w:pPr>
      <w:r w:rsidRPr="00E3561F">
        <w:rPr>
          <w:rFonts w:eastAsia="TimesTen-Bold" w:cstheme="minorHAnsi"/>
          <w:bCs/>
          <w:i/>
          <w:lang w:val="en-US" w:eastAsia="en-US"/>
        </w:rPr>
        <w:t xml:space="preserve">Reference to </w:t>
      </w:r>
      <w:r w:rsidR="00D22D5B" w:rsidRPr="00E3561F">
        <w:rPr>
          <w:rFonts w:eastAsia="TimesTen-Bold" w:cstheme="minorHAnsi"/>
          <w:bCs/>
          <w:i/>
          <w:lang w:val="en-US" w:eastAsia="en-US"/>
        </w:rPr>
        <w:t>a general</w:t>
      </w:r>
      <w:r w:rsidRPr="00E3561F">
        <w:rPr>
          <w:rFonts w:eastAsia="TimesTen-Bold" w:cstheme="minorHAnsi"/>
          <w:bCs/>
          <w:i/>
          <w:lang w:val="en-US" w:eastAsia="en-US"/>
        </w:rPr>
        <w:t xml:space="preserve"> legal framework</w:t>
      </w:r>
      <w:r w:rsidR="00D22D5B" w:rsidRPr="00C61E50">
        <w:rPr>
          <w:rFonts w:eastAsia="TimesTen-Bold" w:cstheme="minorHAnsi"/>
          <w:bCs/>
          <w:lang w:val="en-US" w:eastAsia="en-US"/>
        </w:rPr>
        <w:t xml:space="preserve"> -In most OECD countries, minority shareholders in SOEs have no more rights than they would usually have as members in privately owned companies. Almost all countries assert that SOEs follow the regulatory provisions provided in their company law, listing requirements or in the corporate governance principles/codes. Since the respective legal frameworks are deemed to ensure fair and equitable treatment among all shareholders, and no special protection or provision is made for shareholders other than the state in SOEs.</w:t>
      </w:r>
    </w:p>
    <w:p w:rsidR="006F2ADE" w:rsidRPr="00C61E50" w:rsidRDefault="006F2ADE" w:rsidP="00877E7A">
      <w:pPr>
        <w:pStyle w:val="ListParagraph"/>
        <w:numPr>
          <w:ilvl w:val="0"/>
          <w:numId w:val="29"/>
        </w:numPr>
        <w:rPr>
          <w:rFonts w:eastAsiaTheme="minorHAnsi" w:cstheme="minorHAnsi"/>
          <w:lang w:val="en-US" w:eastAsia="en-US"/>
        </w:rPr>
      </w:pPr>
      <w:r w:rsidRPr="00E3561F">
        <w:rPr>
          <w:rFonts w:eastAsiaTheme="minorHAnsi" w:cstheme="minorHAnsi"/>
          <w:bCs/>
          <w:i/>
          <w:lang w:val="en-US" w:eastAsia="en-US"/>
        </w:rPr>
        <w:t>Strengthened decision making powers within</w:t>
      </w:r>
      <w:r w:rsidR="00D22D5B" w:rsidRPr="00E3561F">
        <w:rPr>
          <w:rFonts w:eastAsiaTheme="minorHAnsi" w:cstheme="minorHAnsi"/>
          <w:bCs/>
          <w:i/>
          <w:lang w:val="en-US" w:eastAsia="en-US"/>
        </w:rPr>
        <w:t xml:space="preserve"> general shareholder meetings</w:t>
      </w:r>
      <w:r w:rsidR="00E3561F">
        <w:rPr>
          <w:rFonts w:eastAsiaTheme="minorHAnsi" w:cstheme="minorHAnsi"/>
          <w:bCs/>
          <w:i/>
          <w:lang w:val="en-US" w:eastAsia="en-US"/>
        </w:rPr>
        <w:t xml:space="preserve"> </w:t>
      </w:r>
      <w:r w:rsidRPr="00E3561F">
        <w:rPr>
          <w:rFonts w:eastAsiaTheme="minorHAnsi" w:cstheme="minorHAnsi"/>
          <w:bCs/>
          <w:i/>
          <w:lang w:val="en-US" w:eastAsia="en-US"/>
        </w:rPr>
        <w:t xml:space="preserve"> or boards</w:t>
      </w:r>
      <w:r w:rsidR="00D22D5B" w:rsidRPr="00C61E50">
        <w:rPr>
          <w:rFonts w:eastAsiaTheme="minorHAnsi" w:cstheme="minorHAnsi"/>
          <w:bCs/>
          <w:lang w:val="en-US" w:eastAsia="en-US"/>
        </w:rPr>
        <w:t xml:space="preserve">  </w:t>
      </w:r>
      <w:r w:rsidR="006F5947" w:rsidRPr="00C61E50">
        <w:rPr>
          <w:rFonts w:eastAsiaTheme="minorHAnsi" w:cstheme="minorHAnsi"/>
          <w:bCs/>
          <w:lang w:val="en-US" w:eastAsia="en-US"/>
        </w:rPr>
        <w:t>–</w:t>
      </w:r>
      <w:r w:rsidR="00D22D5B" w:rsidRPr="00C61E50">
        <w:rPr>
          <w:rFonts w:eastAsiaTheme="minorHAnsi" w:cstheme="minorHAnsi"/>
          <w:bCs/>
          <w:lang w:val="en-US" w:eastAsia="en-US"/>
        </w:rPr>
        <w:t xml:space="preserve"> </w:t>
      </w:r>
      <w:r w:rsidR="006F5947" w:rsidRPr="00C61E50">
        <w:rPr>
          <w:rFonts w:eastAsiaTheme="minorHAnsi" w:cstheme="minorHAnsi"/>
          <w:bCs/>
          <w:lang w:val="en-US" w:eastAsia="en-US"/>
        </w:rPr>
        <w:t xml:space="preserve">Minority shareholders in </w:t>
      </w:r>
      <w:r w:rsidR="00D22D5B" w:rsidRPr="00C61E50">
        <w:rPr>
          <w:rFonts w:eastAsiaTheme="minorHAnsi" w:cstheme="minorHAnsi"/>
          <w:bCs/>
          <w:lang w:val="en-US" w:eastAsia="en-US"/>
        </w:rPr>
        <w:t xml:space="preserve">SOEs </w:t>
      </w:r>
      <w:r w:rsidR="006F5947" w:rsidRPr="00C61E50">
        <w:rPr>
          <w:rFonts w:eastAsiaTheme="minorHAnsi" w:cstheme="minorHAnsi"/>
          <w:bCs/>
          <w:lang w:val="en-US" w:eastAsia="en-US"/>
        </w:rPr>
        <w:t xml:space="preserve">are likely to be </w:t>
      </w:r>
      <w:r w:rsidR="00D22D5B" w:rsidRPr="00C61E50">
        <w:rPr>
          <w:rFonts w:eastAsiaTheme="minorHAnsi" w:cstheme="minorHAnsi"/>
          <w:bCs/>
          <w:lang w:val="en-US" w:eastAsia="en-US"/>
        </w:rPr>
        <w:t xml:space="preserve"> particularly concerned about the actual decisions being made outside of the company</w:t>
      </w:r>
      <w:r w:rsidR="006F5947" w:rsidRPr="00C61E50">
        <w:rPr>
          <w:rFonts w:eastAsiaTheme="minorHAnsi" w:cstheme="minorHAnsi"/>
          <w:bCs/>
          <w:lang w:val="en-US" w:eastAsia="en-US"/>
        </w:rPr>
        <w:t>’s</w:t>
      </w:r>
      <w:r w:rsidR="00D22D5B" w:rsidRPr="00C61E50">
        <w:rPr>
          <w:rFonts w:eastAsiaTheme="minorHAnsi" w:cstheme="minorHAnsi"/>
          <w:bCs/>
          <w:lang w:val="en-US" w:eastAsia="en-US"/>
        </w:rPr>
        <w:t xml:space="preserve"> </w:t>
      </w:r>
      <w:r w:rsidR="009D1364">
        <w:rPr>
          <w:rFonts w:eastAsiaTheme="minorHAnsi" w:cstheme="minorHAnsi"/>
          <w:bCs/>
          <w:lang w:val="en-US" w:eastAsia="en-US"/>
        </w:rPr>
        <w:t>general meeting of shareholders</w:t>
      </w:r>
      <w:r w:rsidR="00D22D5B" w:rsidRPr="00C61E50">
        <w:rPr>
          <w:rFonts w:eastAsiaTheme="minorHAnsi" w:cstheme="minorHAnsi"/>
          <w:bCs/>
          <w:lang w:val="en-US" w:eastAsia="en-US"/>
        </w:rPr>
        <w:t xml:space="preserve"> or board</w:t>
      </w:r>
      <w:r w:rsidR="009D1364">
        <w:rPr>
          <w:rFonts w:eastAsiaTheme="minorHAnsi" w:cstheme="minorHAnsi"/>
          <w:bCs/>
          <w:lang w:val="en-US" w:eastAsia="en-US"/>
        </w:rPr>
        <w:t xml:space="preserve"> meetings</w:t>
      </w:r>
      <w:r w:rsidR="00D22D5B" w:rsidRPr="00C61E50">
        <w:rPr>
          <w:rFonts w:eastAsiaTheme="minorHAnsi" w:cstheme="minorHAnsi"/>
          <w:bCs/>
          <w:lang w:val="en-US" w:eastAsia="en-US"/>
        </w:rPr>
        <w:t xml:space="preserve">, or prior to </w:t>
      </w:r>
      <w:r w:rsidR="009D1364">
        <w:rPr>
          <w:rFonts w:eastAsiaTheme="minorHAnsi" w:cstheme="minorHAnsi"/>
          <w:bCs/>
          <w:lang w:val="en-US" w:eastAsia="en-US"/>
        </w:rPr>
        <w:t xml:space="preserve">such </w:t>
      </w:r>
      <w:r w:rsidR="00D22D5B" w:rsidRPr="00C61E50">
        <w:rPr>
          <w:rFonts w:eastAsiaTheme="minorHAnsi" w:cstheme="minorHAnsi"/>
          <w:bCs/>
          <w:lang w:val="en-US" w:eastAsia="en-US"/>
        </w:rPr>
        <w:t xml:space="preserve">meetings </w:t>
      </w:r>
      <w:r w:rsidR="006F5947" w:rsidRPr="00C61E50">
        <w:rPr>
          <w:rFonts w:eastAsiaTheme="minorHAnsi" w:cstheme="minorHAnsi"/>
          <w:bCs/>
          <w:lang w:val="en-US" w:eastAsia="en-US"/>
        </w:rPr>
        <w:t xml:space="preserve"> which reduces them to </w:t>
      </w:r>
      <w:r w:rsidR="00D22D5B" w:rsidRPr="00C61E50">
        <w:rPr>
          <w:rFonts w:eastAsiaTheme="minorHAnsi" w:cstheme="minorHAnsi"/>
          <w:bCs/>
          <w:lang w:val="en-US" w:eastAsia="en-US"/>
        </w:rPr>
        <w:t>mere rubber stamp</w:t>
      </w:r>
      <w:r w:rsidR="009D1364">
        <w:rPr>
          <w:rFonts w:eastAsiaTheme="minorHAnsi" w:cstheme="minorHAnsi"/>
          <w:bCs/>
          <w:lang w:val="en-US" w:eastAsia="en-US"/>
        </w:rPr>
        <w:t>s</w:t>
      </w:r>
      <w:r w:rsidR="00D22D5B" w:rsidRPr="00C61E50">
        <w:rPr>
          <w:rFonts w:eastAsiaTheme="minorHAnsi" w:cstheme="minorHAnsi"/>
          <w:bCs/>
          <w:lang w:val="en-US" w:eastAsia="en-US"/>
        </w:rPr>
        <w:t>. T</w:t>
      </w:r>
      <w:r w:rsidR="006F5947" w:rsidRPr="00C61E50">
        <w:rPr>
          <w:rFonts w:eastAsiaTheme="minorHAnsi" w:cstheme="minorHAnsi"/>
          <w:bCs/>
          <w:lang w:val="en-US" w:eastAsia="en-US"/>
        </w:rPr>
        <w:t xml:space="preserve">o prevent such a </w:t>
      </w:r>
      <w:r w:rsidR="00C61E50" w:rsidRPr="00C61E50">
        <w:rPr>
          <w:rFonts w:eastAsiaTheme="minorHAnsi" w:cstheme="minorHAnsi"/>
          <w:bCs/>
          <w:lang w:val="en-US" w:eastAsia="en-US"/>
        </w:rPr>
        <w:t>situation SOE</w:t>
      </w:r>
      <w:r w:rsidR="00D22D5B" w:rsidRPr="00C61E50">
        <w:rPr>
          <w:rFonts w:eastAsiaTheme="minorHAnsi" w:cstheme="minorHAnsi"/>
          <w:bCs/>
          <w:lang w:val="en-US" w:eastAsia="en-US"/>
        </w:rPr>
        <w:t xml:space="preserve"> minority shareholders are</w:t>
      </w:r>
      <w:r w:rsidR="009F6344">
        <w:rPr>
          <w:rFonts w:eastAsiaTheme="minorHAnsi" w:cstheme="minorHAnsi"/>
          <w:bCs/>
          <w:lang w:val="en-US" w:eastAsia="en-US"/>
        </w:rPr>
        <w:t>,</w:t>
      </w:r>
      <w:r w:rsidR="00D22D5B" w:rsidRPr="00C61E50">
        <w:rPr>
          <w:rFonts w:eastAsiaTheme="minorHAnsi" w:cstheme="minorHAnsi"/>
          <w:bCs/>
          <w:lang w:val="en-US" w:eastAsia="en-US"/>
        </w:rPr>
        <w:t xml:space="preserve"> in some countries</w:t>
      </w:r>
      <w:r w:rsidR="009F6344">
        <w:rPr>
          <w:rFonts w:eastAsiaTheme="minorHAnsi" w:cstheme="minorHAnsi"/>
          <w:bCs/>
          <w:lang w:val="en-US" w:eastAsia="en-US"/>
        </w:rPr>
        <w:t>,</w:t>
      </w:r>
      <w:r w:rsidR="00D22D5B" w:rsidRPr="00C61E50">
        <w:rPr>
          <w:rFonts w:eastAsiaTheme="minorHAnsi" w:cstheme="minorHAnsi"/>
          <w:bCs/>
          <w:lang w:val="en-US" w:eastAsia="en-US"/>
        </w:rPr>
        <w:t xml:space="preserve"> granted access to the decision making process, often through stronger representation on the board</w:t>
      </w:r>
      <w:r w:rsidR="00C61E50">
        <w:rPr>
          <w:rStyle w:val="FootnoteReference"/>
          <w:rFonts w:eastAsiaTheme="minorHAnsi" w:cstheme="minorHAnsi"/>
          <w:bCs/>
          <w:lang w:val="en-US" w:eastAsia="en-US"/>
        </w:rPr>
        <w:footnoteReference w:id="38"/>
      </w:r>
      <w:r w:rsidR="00D22D5B" w:rsidRPr="00C61E50">
        <w:rPr>
          <w:rFonts w:eastAsiaTheme="minorHAnsi" w:cstheme="minorHAnsi"/>
          <w:bCs/>
          <w:lang w:val="en-US" w:eastAsia="en-US"/>
        </w:rPr>
        <w:t>.  In a few OECD countries and for some SOEs, minority shareholders are actively encouraged to participate in general shareholder meetings</w:t>
      </w:r>
      <w:r w:rsidR="006F5947" w:rsidRPr="00C61E50">
        <w:rPr>
          <w:rFonts w:eastAsiaTheme="minorHAnsi" w:cstheme="minorHAnsi"/>
          <w:bCs/>
          <w:lang w:val="en-US" w:eastAsia="en-US"/>
        </w:rPr>
        <w:t xml:space="preserve"> </w:t>
      </w:r>
      <w:r w:rsidR="00D22D5B" w:rsidRPr="00C61E50">
        <w:rPr>
          <w:rFonts w:eastAsiaTheme="minorHAnsi" w:cstheme="minorHAnsi"/>
          <w:bCs/>
          <w:lang w:val="en-US" w:eastAsia="en-US"/>
        </w:rPr>
        <w:t xml:space="preserve"> by the adoption of specific mechanisms at the company level, including facilitating voting in absentia or developing the use of electronic means as a way to reduce participation costs. In </w:t>
      </w:r>
      <w:r w:rsidR="006F5947" w:rsidRPr="00C61E50">
        <w:rPr>
          <w:rFonts w:eastAsiaTheme="minorHAnsi" w:cstheme="minorHAnsi"/>
          <w:bCs/>
          <w:lang w:val="en-US" w:eastAsia="en-US"/>
        </w:rPr>
        <w:t xml:space="preserve">some </w:t>
      </w:r>
      <w:r w:rsidR="00D22D5B" w:rsidRPr="00C61E50">
        <w:rPr>
          <w:rFonts w:eastAsiaTheme="minorHAnsi" w:cstheme="minorHAnsi"/>
          <w:bCs/>
          <w:lang w:val="en-US" w:eastAsia="en-US"/>
        </w:rPr>
        <w:t>countries, a specific regulation applies to all SOEs and grants minority shareholders additional rights, mainly with regard to their representation on boards</w:t>
      </w:r>
      <w:r w:rsidR="006F5947" w:rsidRPr="00C61E50">
        <w:rPr>
          <w:rFonts w:eastAsiaTheme="minorHAnsi" w:cstheme="minorHAnsi"/>
          <w:bCs/>
          <w:lang w:val="en-US" w:eastAsia="en-US"/>
        </w:rPr>
        <w:t xml:space="preserve"> and c</w:t>
      </w:r>
      <w:r w:rsidR="00D22D5B" w:rsidRPr="00C61E50">
        <w:rPr>
          <w:rFonts w:eastAsiaTheme="minorHAnsi" w:cstheme="minorHAnsi"/>
          <w:bCs/>
          <w:lang w:val="en-US" w:eastAsia="en-US"/>
        </w:rPr>
        <w:t>umulative voting may be allowed, according to the general Company Law or following specific SOE by-</w:t>
      </w:r>
      <w:r w:rsidR="006F5947" w:rsidRPr="00C61E50">
        <w:rPr>
          <w:rFonts w:eastAsiaTheme="minorHAnsi" w:cstheme="minorHAnsi"/>
          <w:bCs/>
          <w:lang w:val="en-US" w:eastAsia="en-US"/>
        </w:rPr>
        <w:t>laws. This</w:t>
      </w:r>
      <w:r w:rsidR="00D22D5B" w:rsidRPr="00C61E50">
        <w:rPr>
          <w:rFonts w:eastAsiaTheme="minorHAnsi" w:cstheme="minorHAnsi"/>
          <w:bCs/>
          <w:lang w:val="en-US" w:eastAsia="en-US"/>
        </w:rPr>
        <w:t xml:space="preserve"> allows minority shareholders to concentrate their voting rights </w:t>
      </w:r>
      <w:r w:rsidR="008E03EA" w:rsidRPr="00C61E50">
        <w:rPr>
          <w:rFonts w:eastAsiaTheme="minorHAnsi" w:cstheme="minorHAnsi"/>
          <w:bCs/>
          <w:lang w:val="en-US" w:eastAsia="en-US"/>
        </w:rPr>
        <w:t>and may</w:t>
      </w:r>
      <w:r w:rsidR="00D22D5B" w:rsidRPr="00C61E50">
        <w:rPr>
          <w:rFonts w:eastAsiaTheme="minorHAnsi" w:cstheme="minorHAnsi"/>
          <w:bCs/>
          <w:lang w:val="en-US" w:eastAsia="en-US"/>
        </w:rPr>
        <w:t xml:space="preserve"> help in rebalancing the dominant state position by a</w:t>
      </w:r>
      <w:r w:rsidR="006F5947" w:rsidRPr="00C61E50">
        <w:rPr>
          <w:rFonts w:eastAsiaTheme="minorHAnsi" w:cstheme="minorHAnsi"/>
          <w:bCs/>
          <w:lang w:val="en-US" w:eastAsia="en-US"/>
        </w:rPr>
        <w:t xml:space="preserve"> </w:t>
      </w:r>
      <w:r w:rsidR="00D22D5B" w:rsidRPr="00C61E50">
        <w:rPr>
          <w:rFonts w:eastAsiaTheme="minorHAnsi" w:cstheme="minorHAnsi"/>
          <w:bCs/>
          <w:lang w:val="en-US" w:eastAsia="en-US"/>
        </w:rPr>
        <w:t>stronger influence of private minority shareholders.</w:t>
      </w:r>
      <w:r w:rsidR="006F5947" w:rsidRPr="00C61E50">
        <w:rPr>
          <w:rFonts w:eastAsiaTheme="minorHAnsi" w:cstheme="minorHAnsi"/>
          <w:bCs/>
          <w:lang w:val="en-US" w:eastAsia="en-US"/>
        </w:rPr>
        <w:t xml:space="preserve"> </w:t>
      </w:r>
    </w:p>
    <w:p w:rsidR="006F2ADE" w:rsidRPr="00C61E50" w:rsidRDefault="006F2ADE" w:rsidP="00877E7A">
      <w:pPr>
        <w:pStyle w:val="ListParagraph"/>
        <w:numPr>
          <w:ilvl w:val="0"/>
          <w:numId w:val="29"/>
        </w:numPr>
        <w:rPr>
          <w:rFonts w:eastAsiaTheme="minorHAnsi" w:cstheme="minorHAnsi"/>
          <w:lang w:val="en-US" w:eastAsia="en-US"/>
        </w:rPr>
      </w:pPr>
      <w:r w:rsidRPr="00E3561F">
        <w:rPr>
          <w:rFonts w:eastAsia="TimesTen-Bold" w:cstheme="minorHAnsi"/>
          <w:bCs/>
          <w:i/>
          <w:lang w:val="en-US" w:eastAsia="en-US"/>
        </w:rPr>
        <w:lastRenderedPageBreak/>
        <w:t>Ex ante rights</w:t>
      </w:r>
      <w:r w:rsidR="007579A7" w:rsidRPr="00C61E50">
        <w:rPr>
          <w:rFonts w:eastAsia="TimesTen-Bold" w:cstheme="minorHAnsi"/>
          <w:bCs/>
          <w:lang w:val="en-US" w:eastAsia="en-US"/>
        </w:rPr>
        <w:t xml:space="preserve"> - Granting minority shareholders specific ex ante rights may also be quite useful in </w:t>
      </w:r>
      <w:r w:rsidR="008E03EA">
        <w:rPr>
          <w:rFonts w:eastAsia="TimesTen-Bold" w:cstheme="minorHAnsi"/>
          <w:bCs/>
          <w:lang w:val="en-US" w:eastAsia="en-US"/>
        </w:rPr>
        <w:t>strengthening the rights of the minority shareholder</w:t>
      </w:r>
      <w:r w:rsidR="007579A7" w:rsidRPr="00C61E50">
        <w:rPr>
          <w:rFonts w:eastAsia="TimesTen-Bold" w:cstheme="minorHAnsi"/>
          <w:bCs/>
          <w:lang w:val="en-US" w:eastAsia="en-US"/>
        </w:rPr>
        <w:t>s, and in most cases these rights are granted by the general legal framework and are not specific to minority shareholders in SOEs</w:t>
      </w:r>
    </w:p>
    <w:p w:rsidR="006F2ADE" w:rsidRPr="00C61E50" w:rsidRDefault="006F2ADE" w:rsidP="00877E7A">
      <w:pPr>
        <w:pStyle w:val="ListParagraph"/>
        <w:numPr>
          <w:ilvl w:val="0"/>
          <w:numId w:val="29"/>
        </w:numPr>
        <w:rPr>
          <w:rFonts w:eastAsiaTheme="minorHAnsi" w:cstheme="minorHAnsi"/>
          <w:lang w:val="en-US" w:eastAsia="en-US"/>
        </w:rPr>
      </w:pPr>
      <w:r w:rsidRPr="00E3561F">
        <w:rPr>
          <w:rFonts w:eastAsia="TimesTen-Bold" w:cstheme="minorHAnsi"/>
          <w:bCs/>
          <w:i/>
          <w:lang w:val="en-US" w:eastAsia="en-US"/>
        </w:rPr>
        <w:t>Information rights</w:t>
      </w:r>
      <w:r w:rsidR="007579A7" w:rsidRPr="00C61E50">
        <w:rPr>
          <w:rFonts w:eastAsia="TimesTen-Bold" w:cstheme="minorHAnsi"/>
          <w:bCs/>
          <w:lang w:val="en-US" w:eastAsia="en-US"/>
        </w:rPr>
        <w:t xml:space="preserve"> - A crucial condition for protecting minority shareholders is to guarantee a high degree of transparency. However, few countries document the provisions taken, if any, to ensure that the ownership entity does not make any potentially abusive use of the information it receives as a controlling shareholder.</w:t>
      </w:r>
    </w:p>
    <w:p w:rsidR="006F2ADE" w:rsidRPr="00C61E50" w:rsidRDefault="006F2ADE" w:rsidP="00877E7A">
      <w:pPr>
        <w:pStyle w:val="ListParagraph"/>
        <w:numPr>
          <w:ilvl w:val="0"/>
          <w:numId w:val="29"/>
        </w:numPr>
        <w:rPr>
          <w:rFonts w:eastAsiaTheme="minorHAnsi" w:cstheme="minorHAnsi"/>
          <w:lang w:val="en-US" w:eastAsia="en-US"/>
        </w:rPr>
      </w:pPr>
      <w:r w:rsidRPr="00E3561F">
        <w:rPr>
          <w:rFonts w:eastAsia="TimesTen-Bold" w:cstheme="minorHAnsi"/>
          <w:bCs/>
          <w:i/>
          <w:lang w:val="en-US" w:eastAsia="en-US"/>
        </w:rPr>
        <w:t>Right of redress</w:t>
      </w:r>
      <w:r w:rsidR="006F5947" w:rsidRPr="00C61E50">
        <w:rPr>
          <w:rFonts w:eastAsia="TimesTen-Bold" w:cstheme="minorHAnsi"/>
          <w:bCs/>
          <w:lang w:val="en-US" w:eastAsia="en-US"/>
        </w:rPr>
        <w:t xml:space="preserve"> -Minority shareholders do enjoy in most OECD countries the same rights in SOEs as in other companies, based on the general company legal framework</w:t>
      </w:r>
      <w:r w:rsidR="008E03EA">
        <w:rPr>
          <w:rFonts w:eastAsia="TimesTen-Bold" w:cstheme="minorHAnsi"/>
          <w:bCs/>
          <w:lang w:val="en-US" w:eastAsia="en-US"/>
        </w:rPr>
        <w:t xml:space="preserve"> applicable for the country</w:t>
      </w:r>
      <w:r w:rsidR="006F5947" w:rsidRPr="00C61E50">
        <w:rPr>
          <w:rFonts w:eastAsia="TimesTen-Bold" w:cstheme="minorHAnsi"/>
          <w:bCs/>
          <w:lang w:val="en-US" w:eastAsia="en-US"/>
        </w:rPr>
        <w:t>.</w:t>
      </w:r>
    </w:p>
    <w:p w:rsidR="006F2ADE" w:rsidRPr="008E03EA" w:rsidRDefault="009D1364" w:rsidP="00877E7A">
      <w:pPr>
        <w:pStyle w:val="ListParagraph"/>
        <w:numPr>
          <w:ilvl w:val="0"/>
          <w:numId w:val="29"/>
        </w:numPr>
        <w:rPr>
          <w:rFonts w:eastAsiaTheme="minorHAnsi" w:cstheme="minorHAnsi"/>
          <w:lang w:val="en-US" w:eastAsia="en-US"/>
        </w:rPr>
      </w:pPr>
      <w:r w:rsidRPr="00E3561F">
        <w:rPr>
          <w:rFonts w:eastAsiaTheme="minorHAnsi" w:cstheme="minorHAnsi"/>
          <w:bCs/>
          <w:i/>
          <w:lang w:val="en-US" w:eastAsia="en-US"/>
        </w:rPr>
        <w:t>Protecting the rights of t</w:t>
      </w:r>
      <w:r w:rsidR="006F2ADE" w:rsidRPr="00E3561F">
        <w:rPr>
          <w:rFonts w:eastAsiaTheme="minorHAnsi" w:cstheme="minorHAnsi"/>
          <w:bCs/>
          <w:i/>
          <w:lang w:val="en-US" w:eastAsia="en-US"/>
        </w:rPr>
        <w:t>he state as a minority but dominant shareholder</w:t>
      </w:r>
      <w:r w:rsidRPr="00E3561F">
        <w:rPr>
          <w:rFonts w:eastAsiaTheme="minorHAnsi" w:cstheme="minorHAnsi"/>
          <w:bCs/>
          <w:i/>
          <w:lang w:val="en-US" w:eastAsia="en-US"/>
        </w:rPr>
        <w:t>; t</w:t>
      </w:r>
      <w:r w:rsidR="006F5947" w:rsidRPr="00E3561F">
        <w:rPr>
          <w:rFonts w:eastAsiaTheme="minorHAnsi" w:cstheme="minorHAnsi"/>
          <w:bCs/>
          <w:i/>
          <w:lang w:val="en-US" w:eastAsia="en-US"/>
        </w:rPr>
        <w:t>he cases of “golden shares”</w:t>
      </w:r>
      <w:r w:rsidR="006F5947" w:rsidRPr="008E03EA">
        <w:rPr>
          <w:rFonts w:eastAsiaTheme="minorHAnsi" w:cstheme="minorHAnsi"/>
          <w:bCs/>
          <w:lang w:val="en-US" w:eastAsia="en-US"/>
        </w:rPr>
        <w:t xml:space="preserve"> -Special rights have usually been introduced</w:t>
      </w:r>
      <w:r>
        <w:rPr>
          <w:rFonts w:eastAsiaTheme="minorHAnsi" w:cstheme="minorHAnsi"/>
          <w:bCs/>
          <w:lang w:val="en-US" w:eastAsia="en-US"/>
        </w:rPr>
        <w:t xml:space="preserve"> in some countries</w:t>
      </w:r>
      <w:r w:rsidR="006F5947" w:rsidRPr="008E03EA">
        <w:rPr>
          <w:rFonts w:eastAsiaTheme="minorHAnsi" w:cstheme="minorHAnsi"/>
          <w:bCs/>
          <w:lang w:val="en-US" w:eastAsia="en-US"/>
        </w:rPr>
        <w:t xml:space="preserve"> in the context of privatization: they allow the state to divest itself of national flagships but without relinquishing its control over them. </w:t>
      </w:r>
      <w:r w:rsidR="009F6344">
        <w:rPr>
          <w:rFonts w:eastAsiaTheme="minorHAnsi" w:cstheme="minorHAnsi"/>
          <w:bCs/>
          <w:lang w:val="en-US" w:eastAsia="en-US"/>
        </w:rPr>
        <w:t>Such structures which a</w:t>
      </w:r>
      <w:r w:rsidR="008E03EA" w:rsidRPr="008E03EA">
        <w:rPr>
          <w:rFonts w:eastAsiaTheme="minorHAnsi" w:cstheme="minorHAnsi"/>
          <w:bCs/>
          <w:lang w:val="en-US" w:eastAsia="en-US"/>
        </w:rPr>
        <w:t>llow the state to</w:t>
      </w:r>
      <w:r w:rsidR="006F5947" w:rsidRPr="008E03EA">
        <w:rPr>
          <w:rFonts w:eastAsiaTheme="minorHAnsi" w:cstheme="minorHAnsi"/>
          <w:bCs/>
          <w:lang w:val="en-US" w:eastAsia="en-US"/>
        </w:rPr>
        <w:t xml:space="preserve"> retain specific powers over the future </w:t>
      </w:r>
      <w:r w:rsidR="009F6344" w:rsidRPr="008E03EA">
        <w:rPr>
          <w:rFonts w:eastAsiaTheme="minorHAnsi" w:cstheme="minorHAnsi"/>
          <w:bCs/>
          <w:lang w:val="en-US" w:eastAsia="en-US"/>
        </w:rPr>
        <w:t>ownership</w:t>
      </w:r>
      <w:r w:rsidR="006F5947" w:rsidRPr="008E03EA">
        <w:rPr>
          <w:rFonts w:eastAsiaTheme="minorHAnsi" w:cstheme="minorHAnsi"/>
          <w:bCs/>
          <w:lang w:val="en-US" w:eastAsia="en-US"/>
        </w:rPr>
        <w:t xml:space="preserve"> control or</w:t>
      </w:r>
      <w:r w:rsidR="009F6344">
        <w:rPr>
          <w:rFonts w:eastAsiaTheme="minorHAnsi" w:cstheme="minorHAnsi"/>
          <w:bCs/>
          <w:lang w:val="en-US" w:eastAsia="en-US"/>
        </w:rPr>
        <w:t xml:space="preserve"> the</w:t>
      </w:r>
      <w:r w:rsidR="006F5947" w:rsidRPr="008E03EA">
        <w:rPr>
          <w:rFonts w:eastAsiaTheme="minorHAnsi" w:cstheme="minorHAnsi"/>
          <w:bCs/>
          <w:lang w:val="en-US" w:eastAsia="en-US"/>
        </w:rPr>
        <w:t xml:space="preserve"> strategic conduct of a private </w:t>
      </w:r>
      <w:r w:rsidR="00C61E50" w:rsidRPr="008E03EA">
        <w:rPr>
          <w:rFonts w:eastAsiaTheme="minorHAnsi" w:cstheme="minorHAnsi"/>
          <w:bCs/>
          <w:lang w:val="en-US" w:eastAsia="en-US"/>
        </w:rPr>
        <w:t>company</w:t>
      </w:r>
      <w:r w:rsidR="008E03EA" w:rsidRPr="008E03EA">
        <w:rPr>
          <w:rFonts w:eastAsiaTheme="minorHAnsi" w:cstheme="minorHAnsi"/>
          <w:bCs/>
          <w:lang w:val="en-US" w:eastAsia="en-US"/>
        </w:rPr>
        <w:t xml:space="preserve"> </w:t>
      </w:r>
      <w:r w:rsidR="009F6344">
        <w:rPr>
          <w:rFonts w:eastAsiaTheme="minorHAnsi" w:cstheme="minorHAnsi"/>
          <w:bCs/>
          <w:lang w:val="en-US" w:eastAsia="en-US"/>
        </w:rPr>
        <w:t>are</w:t>
      </w:r>
      <w:r w:rsidR="008E03EA" w:rsidRPr="008E03EA">
        <w:rPr>
          <w:rFonts w:eastAsiaTheme="minorHAnsi" w:cstheme="minorHAnsi"/>
          <w:bCs/>
          <w:lang w:val="en-US" w:eastAsia="en-US"/>
        </w:rPr>
        <w:t xml:space="preserve"> not in the interest of the minority shareholders</w:t>
      </w:r>
      <w:r w:rsidR="008E03EA">
        <w:rPr>
          <w:rStyle w:val="FootnoteReference"/>
          <w:rFonts w:eastAsiaTheme="minorHAnsi" w:cstheme="minorHAnsi"/>
          <w:bCs/>
          <w:lang w:val="en-US" w:eastAsia="en-US"/>
        </w:rPr>
        <w:footnoteReference w:id="39"/>
      </w:r>
      <w:r w:rsidR="00C61E50" w:rsidRPr="008E03EA">
        <w:rPr>
          <w:rFonts w:eastAsiaTheme="minorHAnsi" w:cstheme="minorHAnsi"/>
          <w:bCs/>
          <w:lang w:val="en-US" w:eastAsia="en-US"/>
        </w:rPr>
        <w:t xml:space="preserve">. </w:t>
      </w:r>
    </w:p>
    <w:p w:rsidR="004700C2" w:rsidRPr="00B1050F" w:rsidRDefault="00C00345" w:rsidP="00877E7A">
      <w:pPr>
        <w:autoSpaceDE w:val="0"/>
        <w:autoSpaceDN w:val="0"/>
        <w:adjustRightInd w:val="0"/>
        <w:rPr>
          <w:rFonts w:eastAsiaTheme="minorHAnsi" w:cstheme="minorHAnsi"/>
          <w:lang w:val="en-US" w:eastAsia="en-US"/>
        </w:rPr>
      </w:pPr>
      <w:r w:rsidRPr="00B1050F">
        <w:rPr>
          <w:rFonts w:eastAsiaTheme="minorHAnsi" w:cstheme="minorHAnsi"/>
          <w:lang w:val="en-US" w:eastAsia="en-US"/>
        </w:rPr>
        <w:t xml:space="preserve">Corporate Governance in an SOE is also impacted by how the SOE is structured in terms of </w:t>
      </w:r>
      <w:r w:rsidR="00241571" w:rsidRPr="00B1050F">
        <w:rPr>
          <w:rFonts w:eastAsiaTheme="minorHAnsi" w:cstheme="minorHAnsi"/>
          <w:lang w:val="en-US" w:eastAsia="en-US"/>
        </w:rPr>
        <w:t>ownership</w:t>
      </w:r>
      <w:r w:rsidR="00241571">
        <w:rPr>
          <w:rFonts w:eastAsiaTheme="minorHAnsi" w:cstheme="minorHAnsi"/>
          <w:lang w:val="en-US" w:eastAsia="en-US"/>
        </w:rPr>
        <w:t>;</w:t>
      </w:r>
      <w:r w:rsidR="00241571" w:rsidRPr="00B1050F">
        <w:rPr>
          <w:rFonts w:eastAsiaTheme="minorHAnsi" w:cstheme="minorHAnsi"/>
          <w:lang w:val="en-US" w:eastAsia="en-US"/>
        </w:rPr>
        <w:t xml:space="preserve"> three</w:t>
      </w:r>
      <w:r w:rsidR="004700C2" w:rsidRPr="00B1050F">
        <w:rPr>
          <w:rFonts w:eastAsiaTheme="minorHAnsi" w:cstheme="minorHAnsi"/>
          <w:lang w:val="en-US" w:eastAsia="en-US"/>
        </w:rPr>
        <w:t xml:space="preserve"> main types of </w:t>
      </w:r>
      <w:r w:rsidR="00C15B4B" w:rsidRPr="00B1050F">
        <w:rPr>
          <w:rFonts w:eastAsiaTheme="minorHAnsi" w:cstheme="minorHAnsi"/>
          <w:lang w:val="en-US" w:eastAsia="en-US"/>
        </w:rPr>
        <w:t>ownerships of SOEs</w:t>
      </w:r>
      <w:r w:rsidR="00241571">
        <w:rPr>
          <w:rFonts w:eastAsiaTheme="minorHAnsi" w:cstheme="minorHAnsi"/>
          <w:lang w:val="en-US" w:eastAsia="en-US"/>
        </w:rPr>
        <w:t xml:space="preserve"> have been found to be prevalent</w:t>
      </w:r>
      <w:r w:rsidR="004700C2" w:rsidRPr="00B1050F">
        <w:rPr>
          <w:rFonts w:eastAsiaTheme="minorHAnsi" w:cstheme="minorHAnsi"/>
          <w:lang w:val="en-US" w:eastAsia="en-US"/>
        </w:rPr>
        <w:t xml:space="preserve"> across the OECD countries: the decentralized or sector model, the dual model and the centralized model</w:t>
      </w:r>
      <w:r w:rsidR="009F6344">
        <w:rPr>
          <w:rStyle w:val="FootnoteReference"/>
          <w:rFonts w:eastAsiaTheme="minorHAnsi" w:cstheme="minorHAnsi"/>
          <w:lang w:val="en-US" w:eastAsia="en-US"/>
        </w:rPr>
        <w:footnoteReference w:id="40"/>
      </w:r>
      <w:r w:rsidR="004700C2" w:rsidRPr="00B1050F">
        <w:rPr>
          <w:rFonts w:eastAsiaTheme="minorHAnsi" w:cstheme="minorHAnsi"/>
          <w:lang w:val="en-US" w:eastAsia="en-US"/>
        </w:rPr>
        <w:t xml:space="preserve">. The decentralized model is the one where SOEs are under the responsibility of relevant sector </w:t>
      </w:r>
      <w:r w:rsidR="00FA2A1D" w:rsidRPr="00B1050F">
        <w:rPr>
          <w:rFonts w:eastAsiaTheme="minorHAnsi" w:cstheme="minorHAnsi"/>
          <w:lang w:val="en-US" w:eastAsia="en-US"/>
        </w:rPr>
        <w:t>ministries. The</w:t>
      </w:r>
      <w:r w:rsidR="004700C2" w:rsidRPr="00B1050F">
        <w:rPr>
          <w:rFonts w:eastAsiaTheme="minorHAnsi" w:cstheme="minorHAnsi"/>
          <w:lang w:val="en-US" w:eastAsia="en-US"/>
        </w:rPr>
        <w:t xml:space="preserve"> dual model is the one where the responsibility is shared between the sector ministry and a “central” Ministry or </w:t>
      </w:r>
      <w:r w:rsidR="00B1050F" w:rsidRPr="00B1050F">
        <w:rPr>
          <w:rFonts w:eastAsiaTheme="minorHAnsi" w:cstheme="minorHAnsi"/>
          <w:lang w:val="en-US" w:eastAsia="en-US"/>
        </w:rPr>
        <w:t>entity (usually</w:t>
      </w:r>
      <w:r w:rsidR="004700C2" w:rsidRPr="00B1050F">
        <w:rPr>
          <w:rFonts w:eastAsiaTheme="minorHAnsi" w:cstheme="minorHAnsi"/>
          <w:lang w:val="en-US" w:eastAsia="en-US"/>
        </w:rPr>
        <w:t xml:space="preserve"> the Finance Ministry or the Treasury</w:t>
      </w:r>
      <w:r w:rsidR="00C15B4B" w:rsidRPr="00B1050F">
        <w:rPr>
          <w:rFonts w:eastAsiaTheme="minorHAnsi" w:cstheme="minorHAnsi"/>
          <w:lang w:val="en-US" w:eastAsia="en-US"/>
        </w:rPr>
        <w:t xml:space="preserve">) </w:t>
      </w:r>
      <w:r w:rsidR="00B1050F" w:rsidRPr="00B1050F">
        <w:rPr>
          <w:rFonts w:eastAsiaTheme="minorHAnsi" w:cstheme="minorHAnsi"/>
          <w:lang w:val="en-US" w:eastAsia="en-US"/>
        </w:rPr>
        <w:t>while the</w:t>
      </w:r>
      <w:r w:rsidR="004700C2" w:rsidRPr="00B1050F">
        <w:rPr>
          <w:rFonts w:eastAsiaTheme="minorHAnsi" w:cstheme="minorHAnsi"/>
          <w:lang w:val="en-US" w:eastAsia="en-US"/>
        </w:rPr>
        <w:t xml:space="preserve"> centralized model</w:t>
      </w:r>
      <w:r w:rsidR="001F3FB2">
        <w:rPr>
          <w:rFonts w:eastAsiaTheme="minorHAnsi" w:cstheme="minorHAnsi"/>
          <w:lang w:val="en-US" w:eastAsia="en-US"/>
        </w:rPr>
        <w:t xml:space="preserve"> is one</w:t>
      </w:r>
      <w:r w:rsidR="004700C2" w:rsidRPr="00B1050F">
        <w:rPr>
          <w:rFonts w:eastAsiaTheme="minorHAnsi" w:cstheme="minorHAnsi"/>
          <w:lang w:val="en-US" w:eastAsia="en-US"/>
        </w:rPr>
        <w:t xml:space="preserve"> in which the ownership responsibility is concentrated under one main ministry</w:t>
      </w:r>
      <w:r w:rsidR="001F3FB2">
        <w:rPr>
          <w:rFonts w:eastAsiaTheme="minorHAnsi" w:cstheme="minorHAnsi"/>
          <w:lang w:val="en-US" w:eastAsia="en-US"/>
        </w:rPr>
        <w:t xml:space="preserve"> and </w:t>
      </w:r>
      <w:r w:rsidR="004700C2" w:rsidRPr="00B1050F">
        <w:rPr>
          <w:rFonts w:eastAsiaTheme="minorHAnsi" w:cstheme="minorHAnsi"/>
          <w:lang w:val="en-US" w:eastAsia="en-US"/>
        </w:rPr>
        <w:t xml:space="preserve">has been </w:t>
      </w:r>
      <w:r w:rsidR="001F3FB2">
        <w:rPr>
          <w:rFonts w:eastAsiaTheme="minorHAnsi" w:cstheme="minorHAnsi"/>
          <w:lang w:val="en-US" w:eastAsia="en-US"/>
        </w:rPr>
        <w:t xml:space="preserve">found to be </w:t>
      </w:r>
      <w:r w:rsidR="004700C2" w:rsidRPr="00B1050F">
        <w:rPr>
          <w:rFonts w:eastAsiaTheme="minorHAnsi" w:cstheme="minorHAnsi"/>
          <w:lang w:val="en-US" w:eastAsia="en-US"/>
        </w:rPr>
        <w:t>on the increase more recently.</w:t>
      </w:r>
    </w:p>
    <w:p w:rsidR="004700C2" w:rsidRPr="00B1050F" w:rsidRDefault="004700C2" w:rsidP="00877E7A">
      <w:pPr>
        <w:autoSpaceDE w:val="0"/>
        <w:autoSpaceDN w:val="0"/>
        <w:adjustRightInd w:val="0"/>
        <w:rPr>
          <w:rFonts w:eastAsiaTheme="minorHAnsi" w:cstheme="minorHAnsi"/>
          <w:lang w:val="en-US" w:eastAsia="en-US"/>
        </w:rPr>
      </w:pPr>
      <w:r w:rsidRPr="00B1050F">
        <w:rPr>
          <w:rFonts w:eastAsiaTheme="minorHAnsi" w:cstheme="minorHAnsi"/>
          <w:lang w:val="en-US" w:eastAsia="en-US"/>
        </w:rPr>
        <w:t xml:space="preserve">The </w:t>
      </w:r>
      <w:r w:rsidRPr="00B1050F">
        <w:rPr>
          <w:rFonts w:eastAsiaTheme="minorHAnsi" w:cstheme="minorHAnsi"/>
          <w:bCs/>
          <w:lang w:val="en-US" w:eastAsia="en-US"/>
        </w:rPr>
        <w:t xml:space="preserve">decentralized or sector model </w:t>
      </w:r>
      <w:r w:rsidR="00C15B4B" w:rsidRPr="00B1050F">
        <w:rPr>
          <w:rFonts w:eastAsiaTheme="minorHAnsi" w:cstheme="minorHAnsi"/>
          <w:bCs/>
          <w:lang w:val="en-US" w:eastAsia="en-US"/>
        </w:rPr>
        <w:t xml:space="preserve">has been </w:t>
      </w:r>
      <w:r w:rsidRPr="00B1050F">
        <w:rPr>
          <w:rFonts w:eastAsiaTheme="minorHAnsi" w:cstheme="minorHAnsi"/>
          <w:lang w:val="en-US" w:eastAsia="en-US"/>
        </w:rPr>
        <w:t xml:space="preserve">the </w:t>
      </w:r>
      <w:r w:rsidR="00C15B4B" w:rsidRPr="00B1050F">
        <w:rPr>
          <w:rFonts w:eastAsiaTheme="minorHAnsi" w:cstheme="minorHAnsi"/>
          <w:lang w:val="en-US" w:eastAsia="en-US"/>
        </w:rPr>
        <w:t xml:space="preserve">traditional </w:t>
      </w:r>
      <w:r w:rsidR="001F3FB2">
        <w:rPr>
          <w:rFonts w:eastAsiaTheme="minorHAnsi" w:cstheme="minorHAnsi"/>
          <w:lang w:val="en-US" w:eastAsia="en-US"/>
        </w:rPr>
        <w:t xml:space="preserve">model for exercising the </w:t>
      </w:r>
      <w:r w:rsidR="001F3FB2" w:rsidRPr="00B1050F">
        <w:rPr>
          <w:rFonts w:eastAsiaTheme="minorHAnsi" w:cstheme="minorHAnsi"/>
          <w:lang w:val="en-US" w:eastAsia="en-US"/>
        </w:rPr>
        <w:t>ownership</w:t>
      </w:r>
      <w:r w:rsidR="004D4868" w:rsidRPr="00B1050F">
        <w:rPr>
          <w:rFonts w:eastAsiaTheme="minorHAnsi" w:cstheme="minorHAnsi"/>
          <w:lang w:val="en-US" w:eastAsia="en-US"/>
        </w:rPr>
        <w:t xml:space="preserve"> </w:t>
      </w:r>
      <w:r w:rsidRPr="00B1050F">
        <w:rPr>
          <w:rFonts w:eastAsiaTheme="minorHAnsi" w:cstheme="minorHAnsi"/>
          <w:lang w:val="en-US" w:eastAsia="en-US"/>
        </w:rPr>
        <w:t xml:space="preserve">function </w:t>
      </w:r>
      <w:r w:rsidR="00C15B4B" w:rsidRPr="00B1050F">
        <w:rPr>
          <w:rFonts w:eastAsiaTheme="minorHAnsi" w:cstheme="minorHAnsi"/>
          <w:lang w:val="en-US" w:eastAsia="en-US"/>
        </w:rPr>
        <w:t xml:space="preserve">and </w:t>
      </w:r>
      <w:r w:rsidRPr="00B1050F">
        <w:rPr>
          <w:rFonts w:eastAsiaTheme="minorHAnsi" w:cstheme="minorHAnsi"/>
          <w:lang w:val="en-US" w:eastAsia="en-US"/>
        </w:rPr>
        <w:t>still exists today in a few OECD countries, such as Finland and to a less extent Germany</w:t>
      </w:r>
      <w:r w:rsidR="00C15B4B" w:rsidRPr="00B1050F">
        <w:rPr>
          <w:rStyle w:val="FootnoteReference"/>
          <w:rFonts w:eastAsiaTheme="minorHAnsi" w:cstheme="minorHAnsi"/>
          <w:lang w:val="en-US" w:eastAsia="en-US"/>
        </w:rPr>
        <w:footnoteReference w:id="41"/>
      </w:r>
      <w:r w:rsidRPr="00B1050F">
        <w:rPr>
          <w:rFonts w:eastAsiaTheme="minorHAnsi" w:cstheme="minorHAnsi"/>
          <w:lang w:val="en-US" w:eastAsia="en-US"/>
        </w:rPr>
        <w:t>. In some cases, a specific ministry plays a coordinating role, in addition to the main role played by sector ministries, and is in charge of elaborating the overall ownership policy as well as specific guidelines. The main advantages and rationale for such a decentralized organization are due to the much greater availability of sector expertise. The main drawbacks resulting from such an organization are the difficulty in clearly separating the ownership function from the regulatory role and the</w:t>
      </w:r>
      <w:r w:rsidR="000D65E4">
        <w:rPr>
          <w:rFonts w:eastAsiaTheme="minorHAnsi" w:cstheme="minorHAnsi"/>
          <w:lang w:val="en-US" w:eastAsia="en-US"/>
        </w:rPr>
        <w:t xml:space="preserve"> increased</w:t>
      </w:r>
      <w:r w:rsidRPr="00B1050F">
        <w:rPr>
          <w:rFonts w:eastAsiaTheme="minorHAnsi" w:cstheme="minorHAnsi"/>
          <w:lang w:val="en-US" w:eastAsia="en-US"/>
        </w:rPr>
        <w:t xml:space="preserve"> risk of governmental interference in day‐to‐day operational functions.</w:t>
      </w:r>
    </w:p>
    <w:p w:rsidR="00241571" w:rsidRDefault="004D4868" w:rsidP="00877E7A">
      <w:pPr>
        <w:autoSpaceDE w:val="0"/>
        <w:autoSpaceDN w:val="0"/>
        <w:adjustRightInd w:val="0"/>
        <w:rPr>
          <w:rFonts w:eastAsiaTheme="minorHAnsi" w:cstheme="minorHAnsi"/>
          <w:bCs/>
          <w:lang w:val="en-US" w:eastAsia="en-US"/>
        </w:rPr>
      </w:pPr>
      <w:r w:rsidRPr="00B1050F">
        <w:rPr>
          <w:rFonts w:eastAsiaTheme="minorHAnsi" w:cstheme="minorHAnsi"/>
          <w:lang w:val="en-US" w:eastAsia="en-US"/>
        </w:rPr>
        <w:t xml:space="preserve"> In the dual model both sector ministries and a “common” ministry are responsible for exercising ownership rights. The “common” Ministry is usually the Ministry of </w:t>
      </w:r>
      <w:r w:rsidR="00FA2A1D" w:rsidRPr="00B1050F">
        <w:rPr>
          <w:rFonts w:eastAsiaTheme="minorHAnsi" w:cstheme="minorHAnsi"/>
          <w:lang w:val="en-US" w:eastAsia="en-US"/>
        </w:rPr>
        <w:t>Finance,</w:t>
      </w:r>
      <w:r w:rsidRPr="00B1050F">
        <w:rPr>
          <w:rFonts w:eastAsiaTheme="minorHAnsi" w:cstheme="minorHAnsi"/>
          <w:lang w:val="en-US" w:eastAsia="en-US"/>
        </w:rPr>
        <w:t xml:space="preserve"> due to the importance of the SOE sector to the state’s </w:t>
      </w:r>
      <w:r w:rsidRPr="00B1050F">
        <w:rPr>
          <w:rFonts w:eastAsiaTheme="minorHAnsi" w:cstheme="minorHAnsi"/>
          <w:lang w:val="en-US" w:eastAsia="en-US"/>
        </w:rPr>
        <w:lastRenderedPageBreak/>
        <w:t>overall economic and financial objectives. Both ministries may have the right to nominate representatives for the board of directors</w:t>
      </w:r>
      <w:r w:rsidR="00FA2A1D" w:rsidRPr="00B1050F">
        <w:rPr>
          <w:rFonts w:eastAsiaTheme="minorHAnsi" w:cstheme="minorHAnsi"/>
          <w:lang w:val="en-US" w:eastAsia="en-US"/>
        </w:rPr>
        <w:t xml:space="preserve"> and the d</w:t>
      </w:r>
      <w:r w:rsidRPr="00B1050F">
        <w:rPr>
          <w:rFonts w:eastAsiaTheme="minorHAnsi" w:cstheme="minorHAnsi"/>
          <w:lang w:val="en-US" w:eastAsia="en-US"/>
        </w:rPr>
        <w:t xml:space="preserve">ual responsibilities often also include the approval of major transactions and strategic plans. </w:t>
      </w:r>
      <w:r w:rsidR="00FA2A1D" w:rsidRPr="00B1050F">
        <w:rPr>
          <w:rFonts w:eastAsiaTheme="minorHAnsi" w:cstheme="minorHAnsi"/>
          <w:lang w:val="en-US" w:eastAsia="en-US"/>
        </w:rPr>
        <w:t xml:space="preserve">In the dual form, one single ministry such as the ministry of finance, or a specialized body, performs certain ownership functions for all </w:t>
      </w:r>
      <w:r w:rsidR="000D65E4">
        <w:rPr>
          <w:rFonts w:eastAsiaTheme="minorHAnsi" w:cstheme="minorHAnsi"/>
          <w:lang w:val="en-US" w:eastAsia="en-US"/>
        </w:rPr>
        <w:t>SOEs</w:t>
      </w:r>
      <w:r w:rsidR="00FA2A1D" w:rsidRPr="00B1050F">
        <w:rPr>
          <w:rFonts w:eastAsiaTheme="minorHAnsi" w:cstheme="minorHAnsi"/>
          <w:lang w:val="en-US" w:eastAsia="en-US"/>
        </w:rPr>
        <w:t>, but other functions are performed by different ministries for different SOEs. In this</w:t>
      </w:r>
      <w:r w:rsidR="000D65E4">
        <w:rPr>
          <w:rFonts w:eastAsiaTheme="minorHAnsi" w:cstheme="minorHAnsi"/>
          <w:lang w:val="en-US" w:eastAsia="en-US"/>
        </w:rPr>
        <w:t xml:space="preserve"> model</w:t>
      </w:r>
      <w:r w:rsidR="00FA2A1D" w:rsidRPr="00B1050F">
        <w:rPr>
          <w:rFonts w:eastAsiaTheme="minorHAnsi" w:cstheme="minorHAnsi"/>
          <w:lang w:val="en-US" w:eastAsia="en-US"/>
        </w:rPr>
        <w:t>, the power of the central ministry or body can range from being close to that of the centralized case</w:t>
      </w:r>
      <w:r w:rsidR="00241571">
        <w:rPr>
          <w:rFonts w:eastAsiaTheme="minorHAnsi" w:cstheme="minorHAnsi"/>
          <w:lang w:val="en-US" w:eastAsia="en-US"/>
        </w:rPr>
        <w:t>,</w:t>
      </w:r>
      <w:r w:rsidR="00FA2A1D" w:rsidRPr="00B1050F">
        <w:rPr>
          <w:rFonts w:eastAsiaTheme="minorHAnsi" w:cstheme="minorHAnsi"/>
          <w:lang w:val="en-US" w:eastAsia="en-US"/>
        </w:rPr>
        <w:t xml:space="preserve"> with other ministries playing a fairly limited governance role</w:t>
      </w:r>
      <w:r w:rsidR="00241571">
        <w:rPr>
          <w:rFonts w:eastAsiaTheme="minorHAnsi" w:cstheme="minorHAnsi"/>
          <w:lang w:val="en-US" w:eastAsia="en-US"/>
        </w:rPr>
        <w:t>,</w:t>
      </w:r>
      <w:r w:rsidR="00FA2A1D" w:rsidRPr="00B1050F">
        <w:rPr>
          <w:rFonts w:eastAsiaTheme="minorHAnsi" w:cstheme="minorHAnsi"/>
          <w:lang w:val="en-US" w:eastAsia="en-US"/>
        </w:rPr>
        <w:t xml:space="preserve"> to being much more circumscribed, with the </w:t>
      </w:r>
      <w:r w:rsidR="000D65E4">
        <w:rPr>
          <w:rFonts w:eastAsiaTheme="minorHAnsi" w:cstheme="minorHAnsi"/>
          <w:lang w:val="en-US" w:eastAsia="en-US"/>
        </w:rPr>
        <w:t xml:space="preserve">central </w:t>
      </w:r>
      <w:r w:rsidR="00FA2A1D" w:rsidRPr="00B1050F">
        <w:rPr>
          <w:rFonts w:eastAsiaTheme="minorHAnsi" w:cstheme="minorHAnsi"/>
          <w:lang w:val="en-US" w:eastAsia="en-US"/>
        </w:rPr>
        <w:t xml:space="preserve">entity serving </w:t>
      </w:r>
      <w:r w:rsidR="000D65E4">
        <w:rPr>
          <w:rFonts w:eastAsiaTheme="minorHAnsi" w:cstheme="minorHAnsi"/>
          <w:lang w:val="en-US" w:eastAsia="en-US"/>
        </w:rPr>
        <w:t xml:space="preserve">only </w:t>
      </w:r>
      <w:r w:rsidR="00FA2A1D" w:rsidRPr="00B1050F">
        <w:rPr>
          <w:rFonts w:eastAsiaTheme="minorHAnsi" w:cstheme="minorHAnsi"/>
          <w:lang w:val="en-US" w:eastAsia="en-US"/>
        </w:rPr>
        <w:t xml:space="preserve">as a consulting and advisory unit for the rest of the </w:t>
      </w:r>
      <w:r w:rsidR="009D0B3D" w:rsidRPr="00B1050F">
        <w:rPr>
          <w:rFonts w:eastAsiaTheme="minorHAnsi" w:cstheme="minorHAnsi"/>
          <w:lang w:val="en-US" w:eastAsia="en-US"/>
        </w:rPr>
        <w:t>government</w:t>
      </w:r>
      <w:r w:rsidR="009D0B3D">
        <w:rPr>
          <w:rFonts w:eastAsiaTheme="minorHAnsi" w:cstheme="minorHAnsi"/>
          <w:lang w:val="en-US" w:eastAsia="en-US"/>
        </w:rPr>
        <w:t xml:space="preserve"> </w:t>
      </w:r>
      <w:r w:rsidR="009D0B3D" w:rsidRPr="00B1050F">
        <w:rPr>
          <w:rFonts w:eastAsiaTheme="minorHAnsi" w:cstheme="minorHAnsi"/>
          <w:lang w:val="en-US" w:eastAsia="en-US"/>
        </w:rPr>
        <w:t>and</w:t>
      </w:r>
      <w:r w:rsidR="00FA2A1D" w:rsidRPr="00B1050F">
        <w:rPr>
          <w:rFonts w:eastAsiaTheme="minorHAnsi" w:cstheme="minorHAnsi"/>
          <w:lang w:val="en-US" w:eastAsia="en-US"/>
        </w:rPr>
        <w:t xml:space="preserve"> having no direct control over SOEs</w:t>
      </w:r>
      <w:r w:rsidR="000D65E4">
        <w:rPr>
          <w:rFonts w:eastAsiaTheme="minorHAnsi" w:cstheme="minorHAnsi"/>
          <w:lang w:val="en-US" w:eastAsia="en-US"/>
        </w:rPr>
        <w:t>.</w:t>
      </w:r>
      <w:r w:rsidR="004700C2" w:rsidRPr="00B1050F">
        <w:rPr>
          <w:rFonts w:eastAsiaTheme="minorHAnsi" w:cstheme="minorHAnsi"/>
          <w:lang w:val="en-US" w:eastAsia="en-US"/>
        </w:rPr>
        <w:t xml:space="preserve"> </w:t>
      </w:r>
      <w:r w:rsidRPr="00B1050F">
        <w:rPr>
          <w:rFonts w:eastAsiaTheme="minorHAnsi" w:cstheme="minorHAnsi"/>
          <w:lang w:val="en-US" w:eastAsia="en-US"/>
        </w:rPr>
        <w:t xml:space="preserve">Brazil, Bulgaria, India, Kenya, Mexico, South Africa, Turkey, and Vietnam all have variations on the </w:t>
      </w:r>
      <w:r w:rsidRPr="00B1050F">
        <w:rPr>
          <w:rFonts w:eastAsiaTheme="minorHAnsi" w:cstheme="minorHAnsi"/>
          <w:bCs/>
          <w:lang w:val="en-US" w:eastAsia="en-US"/>
        </w:rPr>
        <w:t>dual system</w:t>
      </w:r>
      <w:r w:rsidR="00C15B4B" w:rsidRPr="00B1050F">
        <w:rPr>
          <w:rStyle w:val="FootnoteReference"/>
          <w:rFonts w:eastAsiaTheme="minorHAnsi" w:cstheme="minorHAnsi"/>
          <w:bCs/>
          <w:lang w:val="en-US" w:eastAsia="en-US"/>
        </w:rPr>
        <w:footnoteReference w:id="42"/>
      </w:r>
      <w:r w:rsidR="00241571">
        <w:rPr>
          <w:rFonts w:eastAsiaTheme="minorHAnsi" w:cstheme="minorHAnsi"/>
          <w:bCs/>
          <w:lang w:val="en-US" w:eastAsia="en-US"/>
        </w:rPr>
        <w:t>.</w:t>
      </w:r>
    </w:p>
    <w:p w:rsidR="004700C2" w:rsidRPr="00B1050F" w:rsidRDefault="004D4868" w:rsidP="00877E7A">
      <w:pPr>
        <w:autoSpaceDE w:val="0"/>
        <w:autoSpaceDN w:val="0"/>
        <w:adjustRightInd w:val="0"/>
        <w:rPr>
          <w:rFonts w:eastAsiaTheme="minorHAnsi" w:cstheme="minorHAnsi"/>
          <w:lang w:val="en-US" w:eastAsia="en-US"/>
        </w:rPr>
      </w:pPr>
      <w:r w:rsidRPr="00B1050F">
        <w:rPr>
          <w:rFonts w:eastAsiaTheme="minorHAnsi" w:cstheme="minorHAnsi"/>
          <w:bCs/>
          <w:lang w:val="en-US" w:eastAsia="en-US"/>
        </w:rPr>
        <w:t xml:space="preserve"> </w:t>
      </w:r>
      <w:r w:rsidR="004700C2" w:rsidRPr="00B1050F">
        <w:rPr>
          <w:rFonts w:eastAsiaTheme="minorHAnsi" w:cstheme="minorHAnsi"/>
          <w:lang w:val="en-US" w:eastAsia="en-US"/>
        </w:rPr>
        <w:t xml:space="preserve">An important potential advantage of the dual model is that it can </w:t>
      </w:r>
      <w:r w:rsidR="000D65E4">
        <w:rPr>
          <w:rFonts w:eastAsiaTheme="minorHAnsi" w:cstheme="minorHAnsi"/>
          <w:lang w:val="en-US" w:eastAsia="en-US"/>
        </w:rPr>
        <w:t>reduce</w:t>
      </w:r>
      <w:r w:rsidR="004700C2" w:rsidRPr="00B1050F">
        <w:rPr>
          <w:rFonts w:eastAsiaTheme="minorHAnsi" w:cstheme="minorHAnsi"/>
          <w:lang w:val="en-US" w:eastAsia="en-US"/>
        </w:rPr>
        <w:t xml:space="preserve"> the conflict of interest that the government typically has in its dual role as both the owner of an SOE and the representative of that SOE’s </w:t>
      </w:r>
      <w:r w:rsidR="000D65E4">
        <w:rPr>
          <w:rFonts w:eastAsiaTheme="minorHAnsi" w:cstheme="minorHAnsi"/>
          <w:lang w:val="en-US" w:eastAsia="en-US"/>
        </w:rPr>
        <w:t>stakeholders</w:t>
      </w:r>
      <w:r w:rsidR="004700C2" w:rsidRPr="00B1050F">
        <w:rPr>
          <w:rFonts w:eastAsiaTheme="minorHAnsi" w:cstheme="minorHAnsi"/>
          <w:lang w:val="en-US" w:eastAsia="en-US"/>
        </w:rPr>
        <w:t>. When these two roles are divided between the two ministries</w:t>
      </w:r>
      <w:r w:rsidR="000D65E4" w:rsidRPr="00B1050F">
        <w:rPr>
          <w:rFonts w:eastAsiaTheme="minorHAnsi" w:cstheme="minorHAnsi"/>
          <w:lang w:val="en-US" w:eastAsia="en-US"/>
        </w:rPr>
        <w:t>, competing</w:t>
      </w:r>
      <w:r w:rsidR="004700C2" w:rsidRPr="00B1050F">
        <w:rPr>
          <w:rFonts w:eastAsiaTheme="minorHAnsi" w:cstheme="minorHAnsi"/>
          <w:lang w:val="en-US" w:eastAsia="en-US"/>
        </w:rPr>
        <w:t xml:space="preserve"> constituencies are introduced into the </w:t>
      </w:r>
      <w:r w:rsidR="000D65E4">
        <w:rPr>
          <w:rFonts w:eastAsiaTheme="minorHAnsi" w:cstheme="minorHAnsi"/>
          <w:lang w:val="en-US" w:eastAsia="en-US"/>
        </w:rPr>
        <w:t xml:space="preserve">SOE’s </w:t>
      </w:r>
      <w:r w:rsidR="004700C2" w:rsidRPr="00B1050F">
        <w:rPr>
          <w:rFonts w:eastAsiaTheme="minorHAnsi" w:cstheme="minorHAnsi"/>
          <w:lang w:val="en-US" w:eastAsia="en-US"/>
        </w:rPr>
        <w:t xml:space="preserve">corporate governance </w:t>
      </w:r>
      <w:r w:rsidR="000D65E4" w:rsidRPr="00B1050F">
        <w:rPr>
          <w:rFonts w:eastAsiaTheme="minorHAnsi" w:cstheme="minorHAnsi"/>
          <w:lang w:val="en-US" w:eastAsia="en-US"/>
        </w:rPr>
        <w:t xml:space="preserve">framework </w:t>
      </w:r>
      <w:r w:rsidR="000D65E4">
        <w:rPr>
          <w:rFonts w:eastAsiaTheme="minorHAnsi" w:cstheme="minorHAnsi"/>
          <w:lang w:val="en-US" w:eastAsia="en-US"/>
        </w:rPr>
        <w:t xml:space="preserve">which </w:t>
      </w:r>
      <w:r w:rsidR="000D65E4" w:rsidRPr="00B1050F">
        <w:rPr>
          <w:rFonts w:eastAsiaTheme="minorHAnsi" w:cstheme="minorHAnsi"/>
          <w:lang w:val="en-US" w:eastAsia="en-US"/>
        </w:rPr>
        <w:t>is</w:t>
      </w:r>
      <w:r w:rsidR="004700C2" w:rsidRPr="00B1050F">
        <w:rPr>
          <w:rFonts w:eastAsiaTheme="minorHAnsi" w:cstheme="minorHAnsi"/>
          <w:lang w:val="en-US" w:eastAsia="en-US"/>
        </w:rPr>
        <w:t xml:space="preserve"> likely to subject </w:t>
      </w:r>
      <w:r w:rsidR="000D65E4">
        <w:rPr>
          <w:rFonts w:eastAsiaTheme="minorHAnsi" w:cstheme="minorHAnsi"/>
          <w:lang w:val="en-US" w:eastAsia="en-US"/>
        </w:rPr>
        <w:t xml:space="preserve">the </w:t>
      </w:r>
      <w:r w:rsidR="00241571">
        <w:rPr>
          <w:rFonts w:eastAsiaTheme="minorHAnsi" w:cstheme="minorHAnsi"/>
          <w:lang w:val="en-US" w:eastAsia="en-US"/>
        </w:rPr>
        <w:t>SOE’s c</w:t>
      </w:r>
      <w:r w:rsidR="004700C2" w:rsidRPr="00B1050F">
        <w:rPr>
          <w:rFonts w:eastAsiaTheme="minorHAnsi" w:cstheme="minorHAnsi"/>
          <w:lang w:val="en-US" w:eastAsia="en-US"/>
        </w:rPr>
        <w:t>orporate policy to more rigorous checks and balances than</w:t>
      </w:r>
      <w:r w:rsidR="000D65E4">
        <w:rPr>
          <w:rFonts w:eastAsiaTheme="minorHAnsi" w:cstheme="minorHAnsi"/>
          <w:lang w:val="en-US" w:eastAsia="en-US"/>
        </w:rPr>
        <w:t xml:space="preserve"> what </w:t>
      </w:r>
      <w:r w:rsidR="000D65E4" w:rsidRPr="00B1050F">
        <w:rPr>
          <w:rFonts w:eastAsiaTheme="minorHAnsi" w:cstheme="minorHAnsi"/>
          <w:lang w:val="en-US" w:eastAsia="en-US"/>
        </w:rPr>
        <w:t>would</w:t>
      </w:r>
      <w:r w:rsidR="000D65E4">
        <w:rPr>
          <w:rFonts w:eastAsiaTheme="minorHAnsi" w:cstheme="minorHAnsi"/>
          <w:lang w:val="en-US" w:eastAsia="en-US"/>
        </w:rPr>
        <w:t xml:space="preserve"> have taken place under</w:t>
      </w:r>
      <w:r w:rsidR="004700C2" w:rsidRPr="00B1050F">
        <w:rPr>
          <w:rFonts w:eastAsiaTheme="minorHAnsi" w:cstheme="minorHAnsi"/>
          <w:lang w:val="en-US" w:eastAsia="en-US"/>
        </w:rPr>
        <w:t xml:space="preserve"> a single government ministry</w:t>
      </w:r>
      <w:r w:rsidR="00241571">
        <w:rPr>
          <w:rFonts w:eastAsiaTheme="minorHAnsi" w:cstheme="minorHAnsi"/>
          <w:lang w:val="en-US" w:eastAsia="en-US"/>
        </w:rPr>
        <w:t>, this leads</w:t>
      </w:r>
      <w:r w:rsidR="000D65E4">
        <w:rPr>
          <w:rFonts w:eastAsiaTheme="minorHAnsi" w:cstheme="minorHAnsi"/>
          <w:lang w:val="en-US" w:eastAsia="en-US"/>
        </w:rPr>
        <w:t xml:space="preserve"> to a better protection for the minority shareholders</w:t>
      </w:r>
      <w:r w:rsidR="004700C2" w:rsidRPr="00B1050F">
        <w:rPr>
          <w:rFonts w:eastAsiaTheme="minorHAnsi" w:cstheme="minorHAnsi"/>
          <w:lang w:val="en-US" w:eastAsia="en-US"/>
        </w:rPr>
        <w:t xml:space="preserve">. Another potential advantage of the dual model is that </w:t>
      </w:r>
      <w:r w:rsidR="000D65E4">
        <w:rPr>
          <w:rFonts w:eastAsiaTheme="minorHAnsi" w:cstheme="minorHAnsi"/>
          <w:lang w:val="en-US" w:eastAsia="en-US"/>
        </w:rPr>
        <w:t xml:space="preserve">it </w:t>
      </w:r>
      <w:r w:rsidR="004700C2" w:rsidRPr="00B1050F">
        <w:rPr>
          <w:rFonts w:eastAsiaTheme="minorHAnsi" w:cstheme="minorHAnsi"/>
          <w:lang w:val="en-US" w:eastAsia="en-US"/>
        </w:rPr>
        <w:t xml:space="preserve">facilitates both technical (from the officials of a sectoral ministry) and fiscal oversight (from the Ministry of Finance, or perhaps a ministry of public enterprises). The main disadvantages of the dual </w:t>
      </w:r>
      <w:r w:rsidR="000D65E4" w:rsidRPr="00B1050F">
        <w:rPr>
          <w:rFonts w:eastAsiaTheme="minorHAnsi" w:cstheme="minorHAnsi"/>
          <w:lang w:val="en-US" w:eastAsia="en-US"/>
        </w:rPr>
        <w:t>model</w:t>
      </w:r>
      <w:r w:rsidR="000D65E4">
        <w:rPr>
          <w:rFonts w:eastAsiaTheme="minorHAnsi" w:cstheme="minorHAnsi"/>
          <w:lang w:val="en-US" w:eastAsia="en-US"/>
        </w:rPr>
        <w:t xml:space="preserve"> </w:t>
      </w:r>
      <w:r w:rsidR="000D65E4" w:rsidRPr="00B1050F">
        <w:rPr>
          <w:rFonts w:eastAsiaTheme="minorHAnsi" w:cstheme="minorHAnsi"/>
          <w:lang w:val="en-US" w:eastAsia="en-US"/>
        </w:rPr>
        <w:t>are</w:t>
      </w:r>
      <w:r w:rsidR="004700C2" w:rsidRPr="00B1050F">
        <w:rPr>
          <w:rFonts w:eastAsiaTheme="minorHAnsi" w:cstheme="minorHAnsi"/>
          <w:lang w:val="en-US" w:eastAsia="en-US"/>
        </w:rPr>
        <w:t xml:space="preserve"> the potential for the blurring of responsibilities between the two ministries involved and the possibility that SOE management perceives itself to be “the servant of two masters”, with detrimental results for morale and performance.</w:t>
      </w:r>
    </w:p>
    <w:p w:rsidR="00FA2A1D" w:rsidRPr="00B1050F" w:rsidRDefault="004700C2" w:rsidP="00877E7A">
      <w:pPr>
        <w:autoSpaceDE w:val="0"/>
        <w:autoSpaceDN w:val="0"/>
        <w:adjustRightInd w:val="0"/>
        <w:rPr>
          <w:rFonts w:eastAsiaTheme="minorHAnsi" w:cstheme="minorHAnsi"/>
          <w:lang w:val="en-US" w:eastAsia="en-US"/>
        </w:rPr>
      </w:pPr>
      <w:r w:rsidRPr="00B1050F">
        <w:rPr>
          <w:rFonts w:eastAsiaTheme="minorHAnsi" w:cstheme="minorHAnsi"/>
          <w:lang w:val="en-US" w:eastAsia="en-US"/>
        </w:rPr>
        <w:t xml:space="preserve">The </w:t>
      </w:r>
      <w:r w:rsidRPr="00B1050F">
        <w:rPr>
          <w:rFonts w:eastAsiaTheme="minorHAnsi" w:cstheme="minorHAnsi"/>
          <w:bCs/>
          <w:lang w:val="en-US" w:eastAsia="en-US"/>
        </w:rPr>
        <w:t xml:space="preserve">centralized model </w:t>
      </w:r>
      <w:r w:rsidRPr="00B1050F">
        <w:rPr>
          <w:rFonts w:eastAsiaTheme="minorHAnsi" w:cstheme="minorHAnsi"/>
          <w:lang w:val="en-US" w:eastAsia="en-US"/>
        </w:rPr>
        <w:t>has</w:t>
      </w:r>
      <w:r w:rsidR="000D65E4">
        <w:rPr>
          <w:rFonts w:eastAsiaTheme="minorHAnsi" w:cstheme="minorHAnsi"/>
          <w:lang w:val="en-US" w:eastAsia="en-US"/>
        </w:rPr>
        <w:t xml:space="preserve"> become more popular in the current</w:t>
      </w:r>
      <w:r w:rsidRPr="00B1050F">
        <w:rPr>
          <w:rFonts w:eastAsiaTheme="minorHAnsi" w:cstheme="minorHAnsi"/>
          <w:lang w:val="en-US" w:eastAsia="en-US"/>
        </w:rPr>
        <w:t xml:space="preserve"> implementation of privatization programs. In this model, most SOEs are put under the responsibility of one Ministry or Agency. </w:t>
      </w:r>
      <w:r w:rsidR="00FA2A1D" w:rsidRPr="00B1050F">
        <w:rPr>
          <w:rFonts w:eastAsiaTheme="minorHAnsi" w:cstheme="minorHAnsi"/>
          <w:lang w:val="en-US" w:eastAsia="en-US"/>
        </w:rPr>
        <w:t xml:space="preserve">Chile, Indonesia, Jordan, Peru, Poland, and Singapore all have what </w:t>
      </w:r>
      <w:r w:rsidR="00B1050F" w:rsidRPr="00B1050F">
        <w:rPr>
          <w:rFonts w:eastAsiaTheme="minorHAnsi" w:cstheme="minorHAnsi"/>
          <w:lang w:val="en-US" w:eastAsia="en-US"/>
        </w:rPr>
        <w:t>is an</w:t>
      </w:r>
      <w:r w:rsidR="00FA2A1D" w:rsidRPr="00B1050F">
        <w:rPr>
          <w:rFonts w:eastAsiaTheme="minorHAnsi" w:cstheme="minorHAnsi"/>
          <w:lang w:val="en-US" w:eastAsia="en-US"/>
        </w:rPr>
        <w:t xml:space="preserve"> essentially </w:t>
      </w:r>
      <w:r w:rsidR="00FA2A1D" w:rsidRPr="00B1050F">
        <w:rPr>
          <w:rFonts w:eastAsiaTheme="minorHAnsi" w:cstheme="minorHAnsi"/>
          <w:bCs/>
          <w:lang w:val="en-US" w:eastAsia="en-US"/>
        </w:rPr>
        <w:t>centralized system</w:t>
      </w:r>
      <w:r w:rsidR="00B1050F" w:rsidRPr="00B1050F">
        <w:rPr>
          <w:rStyle w:val="FootnoteReference"/>
          <w:rFonts w:eastAsiaTheme="minorHAnsi" w:cstheme="minorHAnsi"/>
          <w:bCs/>
          <w:lang w:val="en-US" w:eastAsia="en-US"/>
        </w:rPr>
        <w:footnoteReference w:id="43"/>
      </w:r>
      <w:r w:rsidR="00B1050F" w:rsidRPr="00B1050F">
        <w:rPr>
          <w:rFonts w:eastAsiaTheme="minorHAnsi" w:cstheme="minorHAnsi"/>
          <w:bCs/>
          <w:lang w:val="en-US" w:eastAsia="en-US"/>
        </w:rPr>
        <w:t>.</w:t>
      </w:r>
    </w:p>
    <w:p w:rsidR="004700C2" w:rsidRPr="00B1050F" w:rsidRDefault="004700C2" w:rsidP="00877E7A">
      <w:pPr>
        <w:autoSpaceDE w:val="0"/>
        <w:autoSpaceDN w:val="0"/>
        <w:adjustRightInd w:val="0"/>
        <w:rPr>
          <w:rFonts w:eastAsiaTheme="minorHAnsi" w:cstheme="minorHAnsi"/>
          <w:bCs/>
          <w:lang w:val="en-US" w:eastAsia="en-US"/>
        </w:rPr>
      </w:pPr>
      <w:r w:rsidRPr="00B1050F">
        <w:rPr>
          <w:rFonts w:eastAsiaTheme="minorHAnsi" w:cstheme="minorHAnsi"/>
          <w:lang w:val="en-US" w:eastAsia="en-US"/>
        </w:rPr>
        <w:t>The main advantages of the centralized model are the clear line of accountability from the SOE</w:t>
      </w:r>
      <w:r w:rsidR="004D4868" w:rsidRPr="00B1050F">
        <w:rPr>
          <w:rFonts w:eastAsiaTheme="minorHAnsi" w:cstheme="minorHAnsi"/>
          <w:lang w:val="en-US" w:eastAsia="en-US"/>
        </w:rPr>
        <w:t xml:space="preserve"> </w:t>
      </w:r>
      <w:r w:rsidRPr="00B1050F">
        <w:rPr>
          <w:rFonts w:eastAsiaTheme="minorHAnsi" w:cstheme="minorHAnsi"/>
          <w:lang w:val="en-US" w:eastAsia="en-US"/>
        </w:rPr>
        <w:t>to the government, the ability of the government to exert close fiscal supervision and to form a</w:t>
      </w:r>
      <w:r w:rsidR="00FA2A1D" w:rsidRPr="00B1050F">
        <w:rPr>
          <w:rFonts w:eastAsiaTheme="minorHAnsi" w:cstheme="minorHAnsi"/>
          <w:lang w:val="en-US" w:eastAsia="en-US"/>
        </w:rPr>
        <w:t xml:space="preserve"> </w:t>
      </w:r>
      <w:r w:rsidRPr="00B1050F">
        <w:rPr>
          <w:rFonts w:eastAsiaTheme="minorHAnsi" w:cstheme="minorHAnsi"/>
          <w:lang w:val="en-US" w:eastAsia="en-US"/>
        </w:rPr>
        <w:t>coherent SOE policy, and the fact that it allows the best use of the typically limited human resources</w:t>
      </w:r>
      <w:r w:rsidR="004D4868" w:rsidRPr="00B1050F">
        <w:rPr>
          <w:rFonts w:eastAsiaTheme="minorHAnsi" w:cstheme="minorHAnsi"/>
          <w:lang w:val="en-US" w:eastAsia="en-US"/>
        </w:rPr>
        <w:t xml:space="preserve"> </w:t>
      </w:r>
      <w:r w:rsidRPr="00B1050F">
        <w:rPr>
          <w:rFonts w:eastAsiaTheme="minorHAnsi" w:cstheme="minorHAnsi"/>
          <w:lang w:val="en-US" w:eastAsia="en-US"/>
        </w:rPr>
        <w:t>available within the civil service to undertake the specialized job of exercising the government’s</w:t>
      </w:r>
      <w:r w:rsidR="004D4868" w:rsidRPr="00B1050F">
        <w:rPr>
          <w:rFonts w:eastAsiaTheme="minorHAnsi" w:cstheme="minorHAnsi"/>
          <w:lang w:val="en-US" w:eastAsia="en-US"/>
        </w:rPr>
        <w:t xml:space="preserve"> </w:t>
      </w:r>
      <w:r w:rsidRPr="00B1050F">
        <w:rPr>
          <w:rFonts w:eastAsiaTheme="minorHAnsi" w:cstheme="minorHAnsi"/>
          <w:lang w:val="en-US" w:eastAsia="en-US"/>
        </w:rPr>
        <w:t>ownership function. The main disadvantage is the likelihood that the depth of sectoral expertise</w:t>
      </w:r>
      <w:r w:rsidR="004D4868" w:rsidRPr="00B1050F">
        <w:rPr>
          <w:rFonts w:eastAsiaTheme="minorHAnsi" w:cstheme="minorHAnsi"/>
          <w:lang w:val="en-US" w:eastAsia="en-US"/>
        </w:rPr>
        <w:t xml:space="preserve"> </w:t>
      </w:r>
      <w:r w:rsidRPr="00B1050F">
        <w:rPr>
          <w:rFonts w:eastAsiaTheme="minorHAnsi" w:cstheme="minorHAnsi"/>
          <w:lang w:val="en-US" w:eastAsia="en-US"/>
        </w:rPr>
        <w:t>available in a Ministry of Finance, for example, will be shallower than in sectoral ministries.</w:t>
      </w:r>
      <w:r w:rsidR="000D65E4">
        <w:rPr>
          <w:rFonts w:eastAsiaTheme="minorHAnsi" w:cstheme="minorHAnsi"/>
          <w:lang w:val="en-US" w:eastAsia="en-US"/>
        </w:rPr>
        <w:t xml:space="preserve"> In such</w:t>
      </w:r>
      <w:r w:rsidR="009D0B3D">
        <w:rPr>
          <w:rFonts w:eastAsiaTheme="minorHAnsi" w:cstheme="minorHAnsi"/>
          <w:lang w:val="en-US" w:eastAsia="en-US"/>
        </w:rPr>
        <w:t xml:space="preserve"> a model of</w:t>
      </w:r>
      <w:r w:rsidR="000D65E4">
        <w:rPr>
          <w:rFonts w:eastAsiaTheme="minorHAnsi" w:cstheme="minorHAnsi"/>
          <w:lang w:val="en-US" w:eastAsia="en-US"/>
        </w:rPr>
        <w:t xml:space="preserve"> good </w:t>
      </w:r>
      <w:r w:rsidR="009D0B3D">
        <w:rPr>
          <w:rFonts w:eastAsiaTheme="minorHAnsi" w:cstheme="minorHAnsi"/>
          <w:lang w:val="en-US" w:eastAsia="en-US"/>
        </w:rPr>
        <w:t>governance better</w:t>
      </w:r>
      <w:r w:rsidR="000D65E4">
        <w:rPr>
          <w:rFonts w:eastAsiaTheme="minorHAnsi" w:cstheme="minorHAnsi"/>
          <w:lang w:val="en-US" w:eastAsia="en-US"/>
        </w:rPr>
        <w:t xml:space="preserve"> protection of the rights of minority shareholders would </w:t>
      </w:r>
      <w:r w:rsidR="000D65E4">
        <w:rPr>
          <w:rFonts w:eastAsiaTheme="minorHAnsi" w:cstheme="minorHAnsi"/>
          <w:lang w:val="en-US" w:eastAsia="en-US"/>
        </w:rPr>
        <w:lastRenderedPageBreak/>
        <w:t>depend upon on how effectively the centralized agency is insulated from political interference</w:t>
      </w:r>
      <w:r w:rsidR="00FE5A95">
        <w:rPr>
          <w:rFonts w:eastAsiaTheme="minorHAnsi" w:cstheme="minorHAnsi"/>
          <w:lang w:val="en-US" w:eastAsia="en-US"/>
        </w:rPr>
        <w:t xml:space="preserve">, </w:t>
      </w:r>
      <w:r w:rsidR="000D65E4">
        <w:rPr>
          <w:rFonts w:eastAsiaTheme="minorHAnsi" w:cstheme="minorHAnsi"/>
          <w:lang w:val="en-US" w:eastAsia="en-US"/>
        </w:rPr>
        <w:t xml:space="preserve">the degree of clarity with which its objectives have been defined and the autonomy granted to it to </w:t>
      </w:r>
      <w:r w:rsidR="00FE5A95">
        <w:rPr>
          <w:rFonts w:eastAsiaTheme="minorHAnsi" w:cstheme="minorHAnsi"/>
          <w:lang w:val="en-US" w:eastAsia="en-US"/>
        </w:rPr>
        <w:t>fulfill</w:t>
      </w:r>
      <w:r w:rsidR="000D65E4">
        <w:rPr>
          <w:rFonts w:eastAsiaTheme="minorHAnsi" w:cstheme="minorHAnsi"/>
          <w:lang w:val="en-US" w:eastAsia="en-US"/>
        </w:rPr>
        <w:t xml:space="preserve"> its mandate.  </w:t>
      </w:r>
    </w:p>
    <w:p w:rsidR="007D698B" w:rsidRDefault="007D698B" w:rsidP="00877E7A">
      <w:pPr>
        <w:autoSpaceDE w:val="0"/>
        <w:autoSpaceDN w:val="0"/>
        <w:adjustRightInd w:val="0"/>
        <w:rPr>
          <w:rFonts w:eastAsiaTheme="minorHAnsi" w:cstheme="minorHAnsi"/>
          <w:lang w:val="en-US" w:eastAsia="en-US"/>
        </w:rPr>
      </w:pPr>
      <w:r w:rsidRPr="00B1050F">
        <w:rPr>
          <w:rFonts w:eastAsiaTheme="minorHAnsi" w:cstheme="minorHAnsi"/>
          <w:lang w:val="en-US" w:eastAsia="en-US"/>
        </w:rPr>
        <w:t xml:space="preserve">Globally there is a trend of less reliance on a purely decentralized system, with many countries establishing a single ownership entity or coordinating body. </w:t>
      </w:r>
    </w:p>
    <w:p w:rsidR="00193E48" w:rsidRPr="00193E48" w:rsidRDefault="00193E48" w:rsidP="00193E48">
      <w:pPr>
        <w:rPr>
          <w:rFonts w:eastAsiaTheme="minorHAnsi" w:cstheme="minorHAnsi"/>
          <w:lang w:val="en-US" w:eastAsia="en-US"/>
        </w:rPr>
      </w:pPr>
      <w:r w:rsidRPr="00193E48">
        <w:rPr>
          <w:rFonts w:eastAsiaTheme="minorHAnsi" w:cstheme="minorHAnsi"/>
          <w:lang w:val="en-US" w:eastAsia="en-US"/>
        </w:rPr>
        <w:t>Temasek Holdings, Singapore</w:t>
      </w:r>
      <w:r w:rsidRPr="00193E48">
        <w:rPr>
          <w:rStyle w:val="FootnoteReference"/>
          <w:rFonts w:eastAsiaTheme="minorHAnsi" w:cstheme="minorHAnsi"/>
          <w:lang w:val="en-US" w:eastAsia="en-US"/>
        </w:rPr>
        <w:footnoteReference w:id="44"/>
      </w:r>
      <w:r w:rsidRPr="00193E48">
        <w:rPr>
          <w:rFonts w:eastAsiaTheme="minorHAnsi" w:cstheme="minorHAnsi"/>
          <w:lang w:val="en-US" w:eastAsia="en-US"/>
        </w:rPr>
        <w:t xml:space="preserve"> is an example of </w:t>
      </w:r>
      <w:r w:rsidR="009D6FD7" w:rsidRPr="00193E48">
        <w:rPr>
          <w:rFonts w:eastAsiaTheme="minorHAnsi" w:cstheme="minorHAnsi"/>
          <w:lang w:val="en-US" w:eastAsia="en-US"/>
        </w:rPr>
        <w:t>a successful</w:t>
      </w:r>
      <w:r w:rsidRPr="00193E48">
        <w:rPr>
          <w:rFonts w:eastAsiaTheme="minorHAnsi" w:cstheme="minorHAnsi"/>
          <w:lang w:val="en-US" w:eastAsia="en-US"/>
        </w:rPr>
        <w:t xml:space="preserve"> holding company structure to manage the assets of SOEs. Wholly owned by the Singapore Government</w:t>
      </w:r>
      <w:r w:rsidR="009D6FD7">
        <w:rPr>
          <w:rFonts w:eastAsiaTheme="minorHAnsi" w:cstheme="minorHAnsi"/>
          <w:lang w:val="en-US" w:eastAsia="en-US"/>
        </w:rPr>
        <w:t>,</w:t>
      </w:r>
      <w:r w:rsidRPr="00193E48">
        <w:rPr>
          <w:rFonts w:eastAsiaTheme="minorHAnsi" w:cstheme="minorHAnsi"/>
          <w:lang w:val="en-US" w:eastAsia="en-US"/>
        </w:rPr>
        <w:t xml:space="preserve"> it is an investment</w:t>
      </w:r>
      <w:r w:rsidR="004A1BCB" w:rsidRPr="00193E48">
        <w:rPr>
          <w:rFonts w:eastAsiaTheme="minorHAnsi" w:cstheme="minorHAnsi"/>
          <w:lang w:val="en-US" w:eastAsia="en-US"/>
        </w:rPr>
        <w:t xml:space="preserve"> company headquartered in Singapore, with 10 locations in cities across Asia and Latin America</w:t>
      </w:r>
      <w:r w:rsidRPr="00193E48">
        <w:rPr>
          <w:rFonts w:eastAsiaTheme="minorHAnsi" w:cstheme="minorHAnsi"/>
          <w:lang w:val="en-US" w:eastAsia="en-US"/>
        </w:rPr>
        <w:t xml:space="preserve"> and manages a portfolio of around US $ 153 billion</w:t>
      </w:r>
      <w:r w:rsidR="009D6FD7">
        <w:rPr>
          <w:rFonts w:eastAsiaTheme="minorHAnsi" w:cstheme="minorHAnsi"/>
          <w:lang w:val="en-US" w:eastAsia="en-US"/>
        </w:rPr>
        <w:t>,</w:t>
      </w:r>
      <w:r w:rsidRPr="00193E48">
        <w:rPr>
          <w:rFonts w:eastAsiaTheme="minorHAnsi" w:cstheme="minorHAnsi"/>
          <w:lang w:val="en-US" w:eastAsia="en-US"/>
        </w:rPr>
        <w:t xml:space="preserve"> as on 31</w:t>
      </w:r>
      <w:r w:rsidRPr="00193E48">
        <w:rPr>
          <w:rFonts w:eastAsiaTheme="minorHAnsi" w:cstheme="minorHAnsi"/>
          <w:vertAlign w:val="superscript"/>
          <w:lang w:val="en-US" w:eastAsia="en-US"/>
        </w:rPr>
        <w:t>st</w:t>
      </w:r>
      <w:r w:rsidRPr="00193E48">
        <w:rPr>
          <w:rFonts w:eastAsiaTheme="minorHAnsi" w:cstheme="minorHAnsi"/>
          <w:lang w:val="en-US" w:eastAsia="en-US"/>
        </w:rPr>
        <w:t xml:space="preserve"> March 2011.</w:t>
      </w:r>
    </w:p>
    <w:p w:rsidR="00E64B5A" w:rsidRPr="00E64B5A" w:rsidRDefault="00193E48" w:rsidP="00E64B5A">
      <w:pPr>
        <w:rPr>
          <w:rFonts w:eastAsiaTheme="minorHAnsi" w:cstheme="minorHAnsi"/>
          <w:lang w:val="en-US" w:eastAsia="en-US"/>
        </w:rPr>
      </w:pPr>
      <w:r w:rsidRPr="00E64B5A">
        <w:rPr>
          <w:rFonts w:eastAsiaTheme="minorHAnsi" w:cstheme="minorHAnsi" w:hint="eastAsia"/>
          <w:lang w:val="en-US" w:eastAsia="en-US"/>
        </w:rPr>
        <w:t xml:space="preserve">Temasek </w:t>
      </w:r>
      <w:r w:rsidR="009D6FD7" w:rsidRPr="00E64B5A">
        <w:rPr>
          <w:rFonts w:eastAsiaTheme="minorHAnsi" w:cstheme="minorHAnsi"/>
          <w:lang w:val="en-US" w:eastAsia="en-US"/>
        </w:rPr>
        <w:t>is wholly</w:t>
      </w:r>
      <w:r w:rsidRPr="00E64B5A">
        <w:rPr>
          <w:rFonts w:eastAsiaTheme="minorHAnsi" w:cstheme="minorHAnsi"/>
          <w:lang w:val="en-US" w:eastAsia="en-US"/>
        </w:rPr>
        <w:t xml:space="preserve"> owned by the Ministry of Finance</w:t>
      </w:r>
      <w:r w:rsidR="009D6FD7">
        <w:rPr>
          <w:rFonts w:eastAsiaTheme="minorHAnsi" w:cstheme="minorHAnsi"/>
          <w:lang w:val="en-US" w:eastAsia="en-US"/>
        </w:rPr>
        <w:t xml:space="preserve"> and</w:t>
      </w:r>
      <w:r w:rsidRPr="00E64B5A">
        <w:rPr>
          <w:rFonts w:eastAsiaTheme="minorHAnsi" w:cstheme="minorHAnsi"/>
          <w:lang w:val="en-US" w:eastAsia="en-US"/>
        </w:rPr>
        <w:t xml:space="preserve"> </w:t>
      </w:r>
      <w:r w:rsidR="009D6FD7" w:rsidRPr="00E64B5A">
        <w:rPr>
          <w:rFonts w:eastAsiaTheme="minorHAnsi" w:cstheme="minorHAnsi"/>
          <w:lang w:val="en-US" w:eastAsia="en-US"/>
        </w:rPr>
        <w:t>is governed</w:t>
      </w:r>
      <w:r w:rsidRPr="00E64B5A">
        <w:rPr>
          <w:rFonts w:eastAsiaTheme="minorHAnsi" w:cstheme="minorHAnsi" w:hint="eastAsia"/>
          <w:lang w:val="en-US" w:eastAsia="en-US"/>
        </w:rPr>
        <w:t xml:space="preserve"> by the provisions of the Singapore Companies Act and all other applicable laws and regulations governing companies incorporated in Singapore.</w:t>
      </w:r>
      <w:r w:rsidR="00E64B5A" w:rsidRPr="00E64B5A">
        <w:rPr>
          <w:rFonts w:eastAsiaTheme="minorHAnsi" w:cstheme="minorHAnsi" w:hint="eastAsia"/>
          <w:lang w:val="en-US" w:eastAsia="en-US"/>
        </w:rPr>
        <w:t xml:space="preserve"> Subject to the President</w:t>
      </w:r>
      <w:r w:rsidR="00E64B5A" w:rsidRPr="00E64B5A">
        <w:rPr>
          <w:rFonts w:eastAsiaTheme="minorHAnsi" w:cstheme="minorHAnsi"/>
          <w:lang w:val="en-US" w:eastAsia="en-US"/>
        </w:rPr>
        <w:t xml:space="preserve"> of Singapore’s </w:t>
      </w:r>
      <w:r w:rsidR="00E64B5A" w:rsidRPr="00E64B5A">
        <w:rPr>
          <w:rFonts w:eastAsiaTheme="minorHAnsi" w:cstheme="minorHAnsi" w:hint="eastAsia"/>
          <w:lang w:val="en-US" w:eastAsia="en-US"/>
        </w:rPr>
        <w:t xml:space="preserve">concurrence, </w:t>
      </w:r>
      <w:r w:rsidR="00E64B5A" w:rsidRPr="00E64B5A">
        <w:rPr>
          <w:rFonts w:eastAsiaTheme="minorHAnsi" w:cstheme="minorHAnsi"/>
          <w:lang w:val="en-US" w:eastAsia="en-US"/>
        </w:rPr>
        <w:t>its</w:t>
      </w:r>
      <w:r w:rsidR="00E64B5A" w:rsidRPr="00E64B5A">
        <w:rPr>
          <w:rFonts w:eastAsiaTheme="minorHAnsi" w:cstheme="minorHAnsi" w:hint="eastAsia"/>
          <w:lang w:val="en-US" w:eastAsia="en-US"/>
        </w:rPr>
        <w:t xml:space="preserve"> shareholder has the right to appoint, remove or renew Board members.</w:t>
      </w:r>
    </w:p>
    <w:p w:rsidR="009D6FD7" w:rsidRPr="009D6FD7" w:rsidRDefault="00193E48" w:rsidP="009D6FD7">
      <w:pPr>
        <w:rPr>
          <w:rFonts w:eastAsiaTheme="minorHAnsi" w:cstheme="minorHAnsi"/>
          <w:lang w:val="en-US" w:eastAsia="en-US"/>
        </w:rPr>
      </w:pPr>
      <w:r w:rsidRPr="009D6FD7">
        <w:rPr>
          <w:rFonts w:eastAsiaTheme="minorHAnsi" w:cstheme="minorHAnsi" w:hint="eastAsia"/>
          <w:lang w:val="en-US" w:eastAsia="en-US"/>
        </w:rPr>
        <w:t>Under Singapore</w:t>
      </w:r>
      <w:r w:rsidR="00E64B5A" w:rsidRPr="009D6FD7">
        <w:rPr>
          <w:rFonts w:eastAsiaTheme="minorHAnsi" w:cstheme="minorHAnsi"/>
          <w:lang w:val="en-US" w:eastAsia="en-US"/>
        </w:rPr>
        <w:t>’s c</w:t>
      </w:r>
      <w:r w:rsidRPr="009D6FD7">
        <w:rPr>
          <w:rFonts w:eastAsiaTheme="minorHAnsi" w:cstheme="minorHAnsi" w:hint="eastAsia"/>
          <w:lang w:val="en-US" w:eastAsia="en-US"/>
        </w:rPr>
        <w:t xml:space="preserve">onstitution and laws, neither the President of Singapore nor the Government is involved in </w:t>
      </w:r>
      <w:r w:rsidR="00E64B5A" w:rsidRPr="009D6FD7">
        <w:rPr>
          <w:rFonts w:eastAsiaTheme="minorHAnsi" w:cstheme="minorHAnsi"/>
          <w:lang w:val="en-US" w:eastAsia="en-US"/>
        </w:rPr>
        <w:t>Temasek’s</w:t>
      </w:r>
      <w:r w:rsidRPr="009D6FD7">
        <w:rPr>
          <w:rFonts w:eastAsiaTheme="minorHAnsi" w:cstheme="minorHAnsi" w:hint="eastAsia"/>
          <w:lang w:val="en-US" w:eastAsia="en-US"/>
        </w:rPr>
        <w:t xml:space="preserve"> investment, divestment or other business decisions, except in relation to the protection of </w:t>
      </w:r>
      <w:r w:rsidR="00E64B5A" w:rsidRPr="009D6FD7">
        <w:rPr>
          <w:rFonts w:eastAsiaTheme="minorHAnsi" w:cstheme="minorHAnsi"/>
          <w:lang w:val="en-US" w:eastAsia="en-US"/>
        </w:rPr>
        <w:t>Temasek’s past</w:t>
      </w:r>
      <w:r w:rsidRPr="009D6FD7">
        <w:rPr>
          <w:rFonts w:eastAsiaTheme="minorHAnsi" w:cstheme="minorHAnsi" w:hint="eastAsia"/>
          <w:lang w:val="en-US" w:eastAsia="en-US"/>
        </w:rPr>
        <w:t xml:space="preserve"> reserves.</w:t>
      </w:r>
      <w:r w:rsidRPr="009D6FD7">
        <w:rPr>
          <w:rFonts w:eastAsiaTheme="minorHAnsi" w:cstheme="minorHAnsi"/>
          <w:lang w:val="en-US" w:eastAsia="en-US"/>
        </w:rPr>
        <w:t xml:space="preserve"> </w:t>
      </w:r>
      <w:r w:rsidRPr="009D6FD7">
        <w:rPr>
          <w:rFonts w:eastAsiaTheme="minorHAnsi" w:cstheme="minorHAnsi" w:hint="eastAsia"/>
          <w:lang w:val="en-US" w:eastAsia="en-US"/>
        </w:rPr>
        <w:t xml:space="preserve">Within this regulatory framework, Temasek operates with full commercial discretion and flexibility, under the direction of </w:t>
      </w:r>
      <w:r w:rsidRPr="009D6FD7">
        <w:rPr>
          <w:rFonts w:eastAsiaTheme="minorHAnsi" w:cstheme="minorHAnsi"/>
          <w:lang w:val="en-US" w:eastAsia="en-US"/>
        </w:rPr>
        <w:t>its</w:t>
      </w:r>
      <w:r w:rsidRPr="009D6FD7">
        <w:rPr>
          <w:rFonts w:eastAsiaTheme="minorHAnsi" w:cstheme="minorHAnsi" w:hint="eastAsia"/>
          <w:lang w:val="en-US" w:eastAsia="en-US"/>
        </w:rPr>
        <w:t xml:space="preserve"> Board.</w:t>
      </w:r>
      <w:r w:rsidR="009D6FD7" w:rsidRPr="009D6FD7">
        <w:rPr>
          <w:rFonts w:eastAsiaTheme="minorHAnsi" w:cstheme="minorHAnsi" w:hint="eastAsia"/>
          <w:lang w:val="en-US" w:eastAsia="en-US"/>
        </w:rPr>
        <w:t xml:space="preserve"> </w:t>
      </w:r>
      <w:r w:rsidR="009D6FD7" w:rsidRPr="009D6FD7">
        <w:rPr>
          <w:rFonts w:eastAsiaTheme="minorHAnsi" w:cstheme="minorHAnsi"/>
          <w:lang w:val="en-US" w:eastAsia="en-US"/>
        </w:rPr>
        <w:t>Its governance</w:t>
      </w:r>
      <w:r w:rsidR="009D6FD7" w:rsidRPr="009D6FD7">
        <w:rPr>
          <w:rFonts w:eastAsiaTheme="minorHAnsi" w:cstheme="minorHAnsi" w:hint="eastAsia"/>
          <w:lang w:val="en-US" w:eastAsia="en-US"/>
        </w:rPr>
        <w:t xml:space="preserve"> framework </w:t>
      </w:r>
      <w:r w:rsidR="009D6FD7" w:rsidRPr="009D6FD7">
        <w:rPr>
          <w:rFonts w:eastAsiaTheme="minorHAnsi" w:cstheme="minorHAnsi"/>
          <w:lang w:val="en-US" w:eastAsia="en-US"/>
        </w:rPr>
        <w:t>emphasizes</w:t>
      </w:r>
      <w:r w:rsidR="009D6FD7" w:rsidRPr="009D6FD7">
        <w:rPr>
          <w:rFonts w:eastAsiaTheme="minorHAnsi" w:cstheme="minorHAnsi" w:hint="eastAsia"/>
          <w:lang w:val="en-US" w:eastAsia="en-US"/>
        </w:rPr>
        <w:t xml:space="preserve"> substance over </w:t>
      </w:r>
      <w:r w:rsidR="009D6FD7" w:rsidRPr="009D6FD7">
        <w:rPr>
          <w:rFonts w:eastAsiaTheme="minorHAnsi" w:cstheme="minorHAnsi"/>
          <w:lang w:val="en-US" w:eastAsia="en-US"/>
        </w:rPr>
        <w:t>form</w:t>
      </w:r>
      <w:r w:rsidR="009D6FD7" w:rsidRPr="009D6FD7">
        <w:rPr>
          <w:rFonts w:eastAsiaTheme="minorHAnsi" w:cstheme="minorHAnsi" w:hint="eastAsia"/>
          <w:lang w:val="en-US" w:eastAsia="en-US"/>
        </w:rPr>
        <w:t xml:space="preserve"> and long term over short term</w:t>
      </w:r>
      <w:r w:rsidR="009D6FD7" w:rsidRPr="009D6FD7">
        <w:rPr>
          <w:rFonts w:eastAsiaTheme="minorHAnsi" w:cstheme="minorHAnsi"/>
          <w:lang w:val="en-US" w:eastAsia="en-US"/>
        </w:rPr>
        <w:t xml:space="preserve"> and provides</w:t>
      </w:r>
      <w:r w:rsidR="009D6FD7" w:rsidRPr="009D6FD7">
        <w:rPr>
          <w:rFonts w:eastAsiaTheme="minorHAnsi" w:cstheme="minorHAnsi" w:hint="eastAsia"/>
          <w:lang w:val="en-US" w:eastAsia="en-US"/>
        </w:rPr>
        <w:t xml:space="preserve"> for accountability and a robust balance between empowerment and compliance</w:t>
      </w:r>
      <w:r w:rsidR="009D6FD7">
        <w:rPr>
          <w:rStyle w:val="FootnoteReference"/>
          <w:rFonts w:eastAsiaTheme="minorHAnsi" w:cstheme="minorHAnsi"/>
          <w:lang w:val="en-US" w:eastAsia="en-US"/>
        </w:rPr>
        <w:footnoteReference w:id="45"/>
      </w:r>
      <w:r w:rsidR="009D6FD7" w:rsidRPr="009D6FD7">
        <w:rPr>
          <w:rFonts w:eastAsiaTheme="minorHAnsi" w:cstheme="minorHAnsi" w:hint="eastAsia"/>
          <w:lang w:val="en-US" w:eastAsia="en-US"/>
        </w:rPr>
        <w:t>.</w:t>
      </w:r>
    </w:p>
    <w:p w:rsidR="009D6FD7" w:rsidRPr="00193E48" w:rsidRDefault="009D6FD7" w:rsidP="009D6FD7">
      <w:pPr>
        <w:rPr>
          <w:rFonts w:eastAsiaTheme="minorHAnsi" w:cstheme="minorHAnsi"/>
          <w:lang w:val="en-US" w:eastAsia="en-US"/>
        </w:rPr>
      </w:pPr>
      <w:r>
        <w:rPr>
          <w:rFonts w:eastAsiaTheme="minorHAnsi" w:cstheme="minorHAnsi"/>
          <w:lang w:val="en-US" w:eastAsia="en-US"/>
        </w:rPr>
        <w:t xml:space="preserve">Temasek </w:t>
      </w:r>
      <w:r w:rsidRPr="00193E48">
        <w:rPr>
          <w:rFonts w:eastAsiaTheme="minorHAnsi" w:cstheme="minorHAnsi"/>
          <w:lang w:val="en-US" w:eastAsia="en-US"/>
        </w:rPr>
        <w:t>has delivered a total shareholder return of 17% compounded annually since its inception in 1974</w:t>
      </w:r>
      <w:r>
        <w:rPr>
          <w:rFonts w:eastAsiaTheme="minorHAnsi" w:cstheme="minorHAnsi"/>
          <w:lang w:val="en-US" w:eastAsia="en-US"/>
        </w:rPr>
        <w:t xml:space="preserve"> and provides a good example of a successful holding company structure for SOEs that works independently with minimal interference from the government.</w:t>
      </w:r>
      <w:r w:rsidRPr="00193E48">
        <w:rPr>
          <w:rFonts w:eastAsiaTheme="minorHAnsi" w:cstheme="minorHAnsi"/>
          <w:lang w:val="en-US" w:eastAsia="en-US"/>
        </w:rPr>
        <w:t> </w:t>
      </w:r>
    </w:p>
    <w:p w:rsidR="009D0B3D" w:rsidRPr="009D0B3D" w:rsidRDefault="009D0B3D" w:rsidP="00877E7A">
      <w:pPr>
        <w:rPr>
          <w:rFonts w:eastAsiaTheme="minorHAnsi" w:cstheme="minorHAnsi"/>
          <w:lang w:val="en-US" w:eastAsia="en-US"/>
        </w:rPr>
      </w:pPr>
      <w:r w:rsidRPr="009D0B3D">
        <w:rPr>
          <w:rFonts w:eastAsiaTheme="minorHAnsi" w:cstheme="minorHAnsi"/>
          <w:lang w:val="en-US" w:eastAsia="en-US"/>
        </w:rPr>
        <w:t xml:space="preserve">There have been a number studies aimed at identifying key factors which, if adopted, would lead  to promoting and implementing  good governance practices in SOEs </w:t>
      </w:r>
      <w:r w:rsidRPr="009D0B3D">
        <w:rPr>
          <w:rFonts w:eastAsiaTheme="minorHAnsi" w:cstheme="minorHAnsi"/>
          <w:lang w:eastAsia="en-US"/>
        </w:rPr>
        <w:t>and therefore help to protect the rights of the minority shareholders</w:t>
      </w:r>
      <w:r w:rsidRPr="009D0B3D">
        <w:rPr>
          <w:rFonts w:eastAsiaTheme="minorHAnsi" w:cstheme="minorHAnsi"/>
          <w:lang w:val="en-US" w:eastAsia="en-US"/>
        </w:rPr>
        <w:t>.</w:t>
      </w:r>
    </w:p>
    <w:p w:rsidR="009D0B3D" w:rsidRDefault="009D0B3D" w:rsidP="00877E7A">
      <w:pPr>
        <w:rPr>
          <w:rFonts w:eastAsiaTheme="minorHAnsi" w:cstheme="minorHAnsi"/>
          <w:lang w:val="en-US" w:eastAsia="en-US"/>
        </w:rPr>
      </w:pPr>
      <w:r w:rsidRPr="009D0B3D">
        <w:rPr>
          <w:rFonts w:eastAsiaTheme="minorHAnsi" w:cstheme="minorHAnsi"/>
          <w:lang w:val="en-US" w:eastAsia="en-US"/>
        </w:rPr>
        <w:t xml:space="preserve"> For instance three key policy recommendations,</w:t>
      </w:r>
      <w:r w:rsidRPr="009D0B3D">
        <w:rPr>
          <w:rFonts w:eastAsiaTheme="minorHAnsi" w:cstheme="minorHAnsi"/>
          <w:lang w:eastAsia="en-US"/>
        </w:rPr>
        <w:t xml:space="preserve"> which impact corporate governance,</w:t>
      </w:r>
      <w:r w:rsidRPr="009D0B3D">
        <w:rPr>
          <w:rFonts w:eastAsiaTheme="minorHAnsi" w:cstheme="minorHAnsi"/>
          <w:lang w:val="en-US" w:eastAsia="en-US"/>
        </w:rPr>
        <w:t xml:space="preserve"> emerge from a World Bank review</w:t>
      </w:r>
      <w:r w:rsidRPr="009D0B3D">
        <w:rPr>
          <w:rFonts w:eastAsiaTheme="minorHAnsi" w:cstheme="minorHAnsi"/>
          <w:vertAlign w:val="superscript"/>
          <w:lang w:val="en-US" w:eastAsia="en-US"/>
        </w:rPr>
        <w:footnoteReference w:id="46"/>
      </w:r>
      <w:r w:rsidRPr="009D0B3D">
        <w:rPr>
          <w:rFonts w:eastAsiaTheme="minorHAnsi" w:cstheme="minorHAnsi"/>
          <w:lang w:val="en-US" w:eastAsia="en-US"/>
        </w:rPr>
        <w:t xml:space="preserve"> of SOE </w:t>
      </w:r>
      <w:r w:rsidRPr="009D0B3D">
        <w:rPr>
          <w:rFonts w:eastAsiaTheme="minorHAnsi" w:cstheme="minorHAnsi"/>
          <w:lang w:eastAsia="en-US"/>
        </w:rPr>
        <w:t>performance evaluation and monitoring in the case of infrastructure sectors in developing countries.</w:t>
      </w:r>
      <w:r w:rsidRPr="009D0B3D">
        <w:rPr>
          <w:rFonts w:eastAsiaTheme="minorHAnsi" w:cstheme="minorHAnsi"/>
          <w:lang w:val="en-US" w:eastAsia="en-US"/>
        </w:rPr>
        <w:t xml:space="preserve"> First, governments need to spend as much time and effort</w:t>
      </w:r>
      <w:r w:rsidR="00241571">
        <w:rPr>
          <w:rFonts w:eastAsiaTheme="minorHAnsi" w:cstheme="minorHAnsi"/>
          <w:lang w:val="en-US" w:eastAsia="en-US"/>
        </w:rPr>
        <w:t xml:space="preserve"> in</w:t>
      </w:r>
      <w:r w:rsidRPr="009D0B3D">
        <w:rPr>
          <w:rFonts w:eastAsiaTheme="minorHAnsi" w:cstheme="minorHAnsi"/>
          <w:lang w:val="en-US" w:eastAsia="en-US"/>
        </w:rPr>
        <w:t xml:space="preserve"> </w:t>
      </w:r>
      <w:r w:rsidRPr="009D0B3D">
        <w:rPr>
          <w:rFonts w:eastAsiaTheme="minorHAnsi" w:cstheme="minorHAnsi"/>
          <w:iCs/>
          <w:lang w:val="en-US" w:eastAsia="en-US"/>
        </w:rPr>
        <w:t xml:space="preserve">monitoring </w:t>
      </w:r>
      <w:r w:rsidRPr="009D0B3D">
        <w:rPr>
          <w:rFonts w:eastAsiaTheme="minorHAnsi" w:cstheme="minorHAnsi"/>
          <w:lang w:val="en-US" w:eastAsia="en-US"/>
        </w:rPr>
        <w:t xml:space="preserve">the </w:t>
      </w:r>
      <w:r w:rsidRPr="009D0B3D">
        <w:rPr>
          <w:rFonts w:eastAsiaTheme="minorHAnsi" w:cstheme="minorHAnsi"/>
          <w:iCs/>
          <w:lang w:val="en-US" w:eastAsia="en-US"/>
        </w:rPr>
        <w:t>performance</w:t>
      </w:r>
      <w:r w:rsidRPr="009D0B3D">
        <w:rPr>
          <w:rFonts w:eastAsiaTheme="minorHAnsi" w:cstheme="minorHAnsi"/>
          <w:i/>
          <w:iCs/>
          <w:lang w:val="en-US" w:eastAsia="en-US"/>
        </w:rPr>
        <w:t xml:space="preserve"> </w:t>
      </w:r>
      <w:r w:rsidRPr="009D0B3D">
        <w:rPr>
          <w:rFonts w:eastAsiaTheme="minorHAnsi" w:cstheme="minorHAnsi"/>
          <w:lang w:val="en-US" w:eastAsia="en-US"/>
        </w:rPr>
        <w:t xml:space="preserve">of public operators as they would do for private operators. Better corporate governance of such projects would lead to more </w:t>
      </w:r>
      <w:r w:rsidRPr="009D0B3D">
        <w:rPr>
          <w:rFonts w:eastAsiaTheme="minorHAnsi" w:cstheme="minorHAnsi"/>
          <w:iCs/>
          <w:lang w:val="en-US" w:eastAsia="en-US"/>
        </w:rPr>
        <w:t xml:space="preserve">transparency </w:t>
      </w:r>
      <w:r w:rsidRPr="009D0B3D">
        <w:rPr>
          <w:rFonts w:eastAsiaTheme="minorHAnsi" w:cstheme="minorHAnsi"/>
          <w:lang w:val="en-US" w:eastAsia="en-US"/>
        </w:rPr>
        <w:t xml:space="preserve">and accountability of the infrastructure sectors and minimize the cost of such projects. Second, some of the structures implied in the OECD Principles of Corporate Governance for SOEs (e.g., favoring a centralized ownership function through an independent agency versus a decentralized or dual structure) have not yet been sufficiently </w:t>
      </w:r>
      <w:r w:rsidRPr="009D0B3D">
        <w:rPr>
          <w:rFonts w:ascii="Arial" w:eastAsiaTheme="minorHAnsi" w:hAnsi="Arial" w:cs="Arial"/>
          <w:lang w:val="en-US" w:eastAsia="en-US"/>
        </w:rPr>
        <w:t>ʺ</w:t>
      </w:r>
      <w:r w:rsidRPr="009D0B3D">
        <w:rPr>
          <w:rFonts w:eastAsiaTheme="minorHAnsi" w:cstheme="minorHAnsi"/>
          <w:lang w:val="en-US" w:eastAsia="en-US"/>
        </w:rPr>
        <w:t>tested</w:t>
      </w:r>
      <w:r w:rsidRPr="009D0B3D">
        <w:rPr>
          <w:rFonts w:ascii="Arial" w:eastAsiaTheme="minorHAnsi" w:hAnsi="Arial" w:cs="Arial"/>
          <w:lang w:val="en-US" w:eastAsia="en-US"/>
        </w:rPr>
        <w:t>ʺ</w:t>
      </w:r>
      <w:r w:rsidRPr="009D0B3D">
        <w:rPr>
          <w:rFonts w:eastAsiaTheme="minorHAnsi" w:cstheme="minorHAnsi"/>
          <w:lang w:val="en-US" w:eastAsia="en-US"/>
        </w:rPr>
        <w:t xml:space="preserve"> in practice and may not suit all developing countries. Developing countries are characterized by tight budget constraints that need to be taken into account when it comes to determine the most appropriate governance structure and a centralized structure, where the ownership is exercised by the Ministry of Finance rather than an independent agency, seems to be better suited and also to be relatively successfully </w:t>
      </w:r>
      <w:r w:rsidRPr="009D0B3D">
        <w:rPr>
          <w:rFonts w:eastAsiaTheme="minorHAnsi" w:cstheme="minorHAnsi"/>
          <w:lang w:val="en-US" w:eastAsia="en-US"/>
        </w:rPr>
        <w:lastRenderedPageBreak/>
        <w:t>implemented in developing countries. Thirdly, general corporate governance guidelines (and policy recommendations) need to be carefully adapted to infrastructure sectors, particularly in the natural monopoly segments and market structures and governments should distinguish between SOEs operating in potentially competitive sectors from the ones operating under a natural monopoly structure. Competition provides not only formidable benefits but also unique opportunities for benchmarking, increasing the transparency and accountability of the sector.</w:t>
      </w:r>
    </w:p>
    <w:p w:rsidR="00331232" w:rsidRPr="00FF2170" w:rsidRDefault="001F3FB2" w:rsidP="00877E7A">
      <w:pPr>
        <w:rPr>
          <w:rFonts w:eastAsiaTheme="minorHAnsi" w:cstheme="minorHAnsi"/>
          <w:lang w:val="en-US" w:eastAsia="en-US"/>
        </w:rPr>
      </w:pPr>
      <w:r>
        <w:rPr>
          <w:rFonts w:eastAsiaTheme="minorHAnsi" w:cstheme="minorHAnsi"/>
          <w:lang w:val="en-US" w:eastAsia="en-US"/>
        </w:rPr>
        <w:t xml:space="preserve">Adherence to National Governance codes by SOEs has  also been seen as an important vehicle better corporate governance in SOEs though the empirical evidence is quite mixed and the issue gets subsumed in the broader issue of how effective </w:t>
      </w:r>
      <w:r w:rsidR="00DB4418">
        <w:rPr>
          <w:rFonts w:eastAsiaTheme="minorHAnsi" w:cstheme="minorHAnsi"/>
          <w:lang w:val="en-US" w:eastAsia="en-US"/>
        </w:rPr>
        <w:t>are</w:t>
      </w:r>
      <w:r>
        <w:rPr>
          <w:rFonts w:eastAsiaTheme="minorHAnsi" w:cstheme="minorHAnsi"/>
          <w:lang w:val="en-US" w:eastAsia="en-US"/>
        </w:rPr>
        <w:t xml:space="preserve"> the National Governance codes.</w:t>
      </w:r>
      <w:r w:rsidR="00331232" w:rsidRPr="00FF2170">
        <w:rPr>
          <w:rFonts w:eastAsiaTheme="minorHAnsi" w:cstheme="minorHAnsi"/>
          <w:lang w:val="en-US" w:eastAsia="en-US"/>
        </w:rPr>
        <w:t xml:space="preserve"> An Indonesian Study</w:t>
      </w:r>
      <w:r w:rsidR="00331232" w:rsidRPr="00FF2170">
        <w:rPr>
          <w:rStyle w:val="FootnoteReference"/>
          <w:rFonts w:eastAsiaTheme="minorHAnsi" w:cstheme="minorHAnsi"/>
          <w:lang w:val="en-US" w:eastAsia="en-US"/>
        </w:rPr>
        <w:footnoteReference w:id="47"/>
      </w:r>
      <w:r w:rsidR="00331232" w:rsidRPr="00FF2170">
        <w:rPr>
          <w:rFonts w:eastAsiaTheme="minorHAnsi" w:cstheme="minorHAnsi"/>
          <w:lang w:val="en-US" w:eastAsia="en-US"/>
        </w:rPr>
        <w:t xml:space="preserve">  </w:t>
      </w:r>
      <w:r w:rsidR="00FF2170" w:rsidRPr="00FF2170">
        <w:rPr>
          <w:rFonts w:eastAsiaTheme="minorHAnsi" w:cstheme="minorHAnsi"/>
          <w:lang w:val="en-US" w:eastAsia="en-US"/>
        </w:rPr>
        <w:t xml:space="preserve">based on </w:t>
      </w:r>
      <w:r w:rsidR="00877E7A" w:rsidRPr="00FF2170">
        <w:rPr>
          <w:rFonts w:eastAsiaTheme="minorHAnsi" w:cstheme="minorHAnsi"/>
          <w:lang w:val="en-US" w:eastAsia="en-US"/>
        </w:rPr>
        <w:t>a document</w:t>
      </w:r>
      <w:r w:rsidR="00331232" w:rsidRPr="00FF2170">
        <w:rPr>
          <w:rFonts w:eastAsiaTheme="minorHAnsi" w:cstheme="minorHAnsi"/>
          <w:lang w:val="en-US" w:eastAsia="en-US"/>
        </w:rPr>
        <w:t xml:space="preserve"> analysis metho</w:t>
      </w:r>
      <w:r w:rsidR="00FF2170" w:rsidRPr="00FF2170">
        <w:rPr>
          <w:rFonts w:eastAsiaTheme="minorHAnsi" w:cstheme="minorHAnsi"/>
          <w:lang w:val="en-US" w:eastAsia="en-US"/>
        </w:rPr>
        <w:t xml:space="preserve">d </w:t>
      </w:r>
      <w:r w:rsidR="00877E7A" w:rsidRPr="00FF2170">
        <w:rPr>
          <w:rFonts w:eastAsiaTheme="minorHAnsi" w:cstheme="minorHAnsi"/>
          <w:lang w:val="en-US" w:eastAsia="en-US"/>
        </w:rPr>
        <w:t>attempted to</w:t>
      </w:r>
      <w:r w:rsidR="00331232" w:rsidRPr="00FF2170">
        <w:rPr>
          <w:rFonts w:eastAsiaTheme="minorHAnsi" w:cstheme="minorHAnsi"/>
          <w:lang w:val="en-US" w:eastAsia="en-US"/>
        </w:rPr>
        <w:t xml:space="preserve"> answer </w:t>
      </w:r>
      <w:r w:rsidR="00FF2170" w:rsidRPr="00FF2170">
        <w:rPr>
          <w:rFonts w:eastAsiaTheme="minorHAnsi" w:cstheme="minorHAnsi"/>
          <w:lang w:val="en-US" w:eastAsia="en-US"/>
        </w:rPr>
        <w:t>the</w:t>
      </w:r>
      <w:r w:rsidR="00331232" w:rsidRPr="00FF2170">
        <w:rPr>
          <w:rFonts w:eastAsiaTheme="minorHAnsi" w:cstheme="minorHAnsi"/>
          <w:lang w:val="en-US" w:eastAsia="en-US"/>
        </w:rPr>
        <w:t xml:space="preserve"> question as to what extent Indonesia’s concept of corporate governance solv</w:t>
      </w:r>
      <w:r w:rsidR="00943BDC">
        <w:rPr>
          <w:rFonts w:eastAsiaTheme="minorHAnsi" w:cstheme="minorHAnsi"/>
          <w:lang w:val="en-US" w:eastAsia="en-US"/>
        </w:rPr>
        <w:t>ed</w:t>
      </w:r>
      <w:r w:rsidR="00331232" w:rsidRPr="00FF2170">
        <w:rPr>
          <w:rFonts w:eastAsiaTheme="minorHAnsi" w:cstheme="minorHAnsi"/>
          <w:lang w:val="en-US" w:eastAsia="en-US"/>
        </w:rPr>
        <w:t xml:space="preserve"> the existing </w:t>
      </w:r>
      <w:r w:rsidR="00943BDC">
        <w:rPr>
          <w:rFonts w:eastAsiaTheme="minorHAnsi" w:cstheme="minorHAnsi"/>
          <w:lang w:val="en-US" w:eastAsia="en-US"/>
        </w:rPr>
        <w:t xml:space="preserve">governance </w:t>
      </w:r>
      <w:r w:rsidR="00331232" w:rsidRPr="00FF2170">
        <w:rPr>
          <w:rFonts w:eastAsiaTheme="minorHAnsi" w:cstheme="minorHAnsi"/>
          <w:lang w:val="en-US" w:eastAsia="en-US"/>
        </w:rPr>
        <w:t>problems of SOEs, including pure SOEs</w:t>
      </w:r>
      <w:r w:rsidR="009B4764" w:rsidRPr="00FF2170">
        <w:rPr>
          <w:rFonts w:eastAsiaTheme="minorHAnsi" w:cstheme="minorHAnsi"/>
          <w:lang w:val="en-US" w:eastAsia="en-US"/>
        </w:rPr>
        <w:t xml:space="preserve"> </w:t>
      </w:r>
      <w:r w:rsidR="009B4764">
        <w:rPr>
          <w:rFonts w:eastAsiaTheme="minorHAnsi" w:cstheme="minorHAnsi"/>
          <w:lang w:val="en-US" w:eastAsia="en-US"/>
        </w:rPr>
        <w:t>-</w:t>
      </w:r>
      <w:r w:rsidR="009B4764" w:rsidRPr="00FF2170">
        <w:rPr>
          <w:rFonts w:eastAsiaTheme="minorHAnsi" w:cstheme="minorHAnsi"/>
          <w:lang w:val="en-US" w:eastAsia="en-US"/>
        </w:rPr>
        <w:t>w</w:t>
      </w:r>
      <w:r w:rsidR="009B4764">
        <w:rPr>
          <w:rFonts w:eastAsiaTheme="minorHAnsi" w:cstheme="minorHAnsi"/>
          <w:lang w:val="en-US" w:eastAsia="en-US"/>
        </w:rPr>
        <w:t xml:space="preserve">hich had </w:t>
      </w:r>
      <w:r w:rsidR="009B4764" w:rsidRPr="00FF2170">
        <w:rPr>
          <w:rFonts w:eastAsiaTheme="minorHAnsi" w:cstheme="minorHAnsi"/>
          <w:lang w:val="en-US" w:eastAsia="en-US"/>
        </w:rPr>
        <w:t>the government as the sole shareholder’s representative</w:t>
      </w:r>
      <w:r w:rsidR="00331232" w:rsidRPr="00FF2170">
        <w:rPr>
          <w:rFonts w:eastAsiaTheme="minorHAnsi" w:cstheme="minorHAnsi"/>
          <w:lang w:val="en-US" w:eastAsia="en-US"/>
        </w:rPr>
        <w:t>. T</w:t>
      </w:r>
      <w:r w:rsidR="00FF2170" w:rsidRPr="00FF2170">
        <w:rPr>
          <w:rFonts w:eastAsiaTheme="minorHAnsi" w:cstheme="minorHAnsi"/>
          <w:lang w:val="en-US" w:eastAsia="en-US"/>
        </w:rPr>
        <w:t>he</w:t>
      </w:r>
      <w:r w:rsidR="00331232" w:rsidRPr="00FF2170">
        <w:rPr>
          <w:rFonts w:eastAsiaTheme="minorHAnsi" w:cstheme="minorHAnsi"/>
          <w:lang w:val="en-US" w:eastAsia="en-US"/>
        </w:rPr>
        <w:t xml:space="preserve"> study found that the mainstream corporate governance </w:t>
      </w:r>
      <w:r w:rsidR="00877E7A">
        <w:rPr>
          <w:rFonts w:eastAsiaTheme="minorHAnsi" w:cstheme="minorHAnsi"/>
          <w:lang w:val="en-US" w:eastAsia="en-US"/>
        </w:rPr>
        <w:t>in Indonesia was</w:t>
      </w:r>
      <w:r w:rsidR="00331232" w:rsidRPr="00FF2170">
        <w:rPr>
          <w:rFonts w:eastAsiaTheme="minorHAnsi" w:cstheme="minorHAnsi"/>
          <w:lang w:val="en-US" w:eastAsia="en-US"/>
        </w:rPr>
        <w:t xml:space="preserve"> designed to deal with agency problem that occurs in publicly traded companies with widely dispersed shareholders as opposed to non-listed companies such as pure</w:t>
      </w:r>
      <w:r w:rsidR="009B4764">
        <w:rPr>
          <w:rFonts w:eastAsiaTheme="minorHAnsi" w:cstheme="minorHAnsi"/>
          <w:lang w:val="en-US" w:eastAsia="en-US"/>
        </w:rPr>
        <w:t xml:space="preserve"> SOEs</w:t>
      </w:r>
      <w:r w:rsidR="00331232" w:rsidRPr="00FF2170">
        <w:rPr>
          <w:rFonts w:eastAsiaTheme="minorHAnsi" w:cstheme="minorHAnsi"/>
          <w:lang w:val="en-US" w:eastAsia="en-US"/>
        </w:rPr>
        <w:t xml:space="preserve">. </w:t>
      </w:r>
      <w:r w:rsidR="00DB4418">
        <w:rPr>
          <w:rFonts w:eastAsiaTheme="minorHAnsi" w:cstheme="minorHAnsi"/>
          <w:lang w:val="en-US" w:eastAsia="en-US"/>
        </w:rPr>
        <w:t xml:space="preserve">The study </w:t>
      </w:r>
      <w:r w:rsidR="009B4764">
        <w:rPr>
          <w:rFonts w:eastAsiaTheme="minorHAnsi" w:cstheme="minorHAnsi"/>
          <w:lang w:val="en-US" w:eastAsia="en-US"/>
        </w:rPr>
        <w:t xml:space="preserve">found </w:t>
      </w:r>
      <w:r w:rsidR="009B4764" w:rsidRPr="00FF2170">
        <w:rPr>
          <w:rFonts w:eastAsiaTheme="minorHAnsi" w:cstheme="minorHAnsi"/>
          <w:lang w:val="en-US" w:eastAsia="en-US"/>
        </w:rPr>
        <w:t>that</w:t>
      </w:r>
      <w:r w:rsidR="00331232" w:rsidRPr="00FF2170">
        <w:rPr>
          <w:rFonts w:eastAsiaTheme="minorHAnsi" w:cstheme="minorHAnsi"/>
          <w:lang w:val="en-US" w:eastAsia="en-US"/>
        </w:rPr>
        <w:t xml:space="preserve"> the code ha</w:t>
      </w:r>
      <w:r w:rsidR="00DB4418">
        <w:rPr>
          <w:rFonts w:eastAsiaTheme="minorHAnsi" w:cstheme="minorHAnsi"/>
          <w:lang w:val="en-US" w:eastAsia="en-US"/>
        </w:rPr>
        <w:t>d</w:t>
      </w:r>
      <w:r w:rsidR="00331232" w:rsidRPr="00FF2170">
        <w:rPr>
          <w:rFonts w:eastAsiaTheme="minorHAnsi" w:cstheme="minorHAnsi"/>
          <w:lang w:val="en-US" w:eastAsia="en-US"/>
        </w:rPr>
        <w:t xml:space="preserve"> failed to </w:t>
      </w:r>
      <w:r w:rsidR="009B4764" w:rsidRPr="00FF2170">
        <w:rPr>
          <w:rFonts w:eastAsiaTheme="minorHAnsi" w:cstheme="minorHAnsi"/>
          <w:lang w:val="en-US" w:eastAsia="en-US"/>
        </w:rPr>
        <w:t xml:space="preserve">solve </w:t>
      </w:r>
      <w:r w:rsidR="009B4764">
        <w:rPr>
          <w:rFonts w:eastAsiaTheme="minorHAnsi" w:cstheme="minorHAnsi"/>
          <w:lang w:val="en-US" w:eastAsia="en-US"/>
        </w:rPr>
        <w:t xml:space="preserve">the </w:t>
      </w:r>
      <w:r w:rsidR="009B4764" w:rsidRPr="00FF2170">
        <w:rPr>
          <w:rFonts w:eastAsiaTheme="minorHAnsi" w:cstheme="minorHAnsi"/>
          <w:lang w:val="en-US" w:eastAsia="en-US"/>
        </w:rPr>
        <w:t>crucial</w:t>
      </w:r>
      <w:r w:rsidR="00331232" w:rsidRPr="00FF2170">
        <w:rPr>
          <w:rFonts w:eastAsiaTheme="minorHAnsi" w:cstheme="minorHAnsi"/>
          <w:lang w:val="en-US" w:eastAsia="en-US"/>
        </w:rPr>
        <w:t xml:space="preserve"> </w:t>
      </w:r>
      <w:r w:rsidR="009B4764" w:rsidRPr="00FF2170">
        <w:rPr>
          <w:rFonts w:eastAsiaTheme="minorHAnsi" w:cstheme="minorHAnsi"/>
          <w:lang w:val="en-US" w:eastAsia="en-US"/>
        </w:rPr>
        <w:t>problems of</w:t>
      </w:r>
      <w:r w:rsidR="00877E7A" w:rsidRPr="00FF2170">
        <w:rPr>
          <w:rFonts w:eastAsiaTheme="minorHAnsi" w:cstheme="minorHAnsi"/>
          <w:lang w:val="en-US" w:eastAsia="en-US"/>
        </w:rPr>
        <w:t xml:space="preserve"> conflicting</w:t>
      </w:r>
      <w:r w:rsidR="00331232" w:rsidRPr="00FF2170">
        <w:rPr>
          <w:rFonts w:eastAsiaTheme="minorHAnsi" w:cstheme="minorHAnsi"/>
          <w:lang w:val="en-US" w:eastAsia="en-US"/>
        </w:rPr>
        <w:t xml:space="preserve"> objectives and political interference</w:t>
      </w:r>
      <w:r w:rsidR="009B4764">
        <w:rPr>
          <w:rFonts w:eastAsiaTheme="minorHAnsi" w:cstheme="minorHAnsi"/>
          <w:lang w:val="en-US" w:eastAsia="en-US"/>
        </w:rPr>
        <w:t xml:space="preserve"> and </w:t>
      </w:r>
      <w:r w:rsidR="009B4764" w:rsidRPr="00FF2170">
        <w:rPr>
          <w:rFonts w:eastAsiaTheme="minorHAnsi" w:cstheme="minorHAnsi"/>
          <w:lang w:val="en-US" w:eastAsia="en-US"/>
        </w:rPr>
        <w:t>concluded</w:t>
      </w:r>
      <w:r w:rsidR="00FF2170" w:rsidRPr="00FF2170">
        <w:rPr>
          <w:rFonts w:eastAsiaTheme="minorHAnsi" w:cstheme="minorHAnsi"/>
          <w:lang w:val="en-US" w:eastAsia="en-US"/>
        </w:rPr>
        <w:t xml:space="preserve"> that </w:t>
      </w:r>
      <w:r w:rsidR="00877E7A" w:rsidRPr="00FF2170">
        <w:rPr>
          <w:rFonts w:eastAsiaTheme="minorHAnsi" w:cstheme="minorHAnsi"/>
          <w:lang w:val="en-US" w:eastAsia="en-US"/>
        </w:rPr>
        <w:t>the current</w:t>
      </w:r>
      <w:r w:rsidR="00331232" w:rsidRPr="00FF2170">
        <w:rPr>
          <w:rFonts w:eastAsiaTheme="minorHAnsi" w:cstheme="minorHAnsi"/>
          <w:lang w:val="en-US" w:eastAsia="en-US"/>
        </w:rPr>
        <w:t xml:space="preserve"> Indonesia</w:t>
      </w:r>
      <w:r w:rsidR="00FF2170" w:rsidRPr="00FF2170">
        <w:rPr>
          <w:rFonts w:eastAsiaTheme="minorHAnsi" w:cstheme="minorHAnsi"/>
          <w:lang w:val="en-US" w:eastAsia="en-US"/>
        </w:rPr>
        <w:t>n</w:t>
      </w:r>
      <w:r w:rsidR="00331232" w:rsidRPr="00FF2170">
        <w:rPr>
          <w:rFonts w:eastAsiaTheme="minorHAnsi" w:cstheme="minorHAnsi"/>
          <w:lang w:val="en-US" w:eastAsia="en-US"/>
        </w:rPr>
        <w:t xml:space="preserve"> code of corporate governance</w:t>
      </w:r>
      <w:r w:rsidR="009B4764">
        <w:rPr>
          <w:rFonts w:eastAsiaTheme="minorHAnsi" w:cstheme="minorHAnsi"/>
          <w:lang w:val="en-US" w:eastAsia="en-US"/>
        </w:rPr>
        <w:t>,</w:t>
      </w:r>
      <w:r w:rsidR="00331232" w:rsidRPr="00FF2170">
        <w:rPr>
          <w:rFonts w:eastAsiaTheme="minorHAnsi" w:cstheme="minorHAnsi"/>
          <w:lang w:val="en-US" w:eastAsia="en-US"/>
        </w:rPr>
        <w:t xml:space="preserve"> conceptually</w:t>
      </w:r>
      <w:r w:rsidR="009B4764">
        <w:rPr>
          <w:rFonts w:eastAsiaTheme="minorHAnsi" w:cstheme="minorHAnsi"/>
          <w:lang w:val="en-US" w:eastAsia="en-US"/>
        </w:rPr>
        <w:t>,</w:t>
      </w:r>
      <w:r w:rsidR="00331232" w:rsidRPr="00FF2170">
        <w:rPr>
          <w:rFonts w:eastAsiaTheme="minorHAnsi" w:cstheme="minorHAnsi"/>
          <w:lang w:val="en-US" w:eastAsia="en-US"/>
        </w:rPr>
        <w:t xml:space="preserve"> c</w:t>
      </w:r>
      <w:r w:rsidR="00943BDC">
        <w:rPr>
          <w:rFonts w:eastAsiaTheme="minorHAnsi" w:cstheme="minorHAnsi"/>
          <w:lang w:val="en-US" w:eastAsia="en-US"/>
        </w:rPr>
        <w:t xml:space="preserve">ould </w:t>
      </w:r>
      <w:r w:rsidR="00331232" w:rsidRPr="00FF2170">
        <w:rPr>
          <w:rFonts w:eastAsiaTheme="minorHAnsi" w:cstheme="minorHAnsi"/>
          <w:lang w:val="en-US" w:eastAsia="en-US"/>
        </w:rPr>
        <w:t xml:space="preserve">not remedy </w:t>
      </w:r>
      <w:r w:rsidR="009B4764">
        <w:rPr>
          <w:rFonts w:eastAsiaTheme="minorHAnsi" w:cstheme="minorHAnsi"/>
          <w:lang w:val="en-US" w:eastAsia="en-US"/>
        </w:rPr>
        <w:t xml:space="preserve">the governance issues in </w:t>
      </w:r>
      <w:r w:rsidR="00331232" w:rsidRPr="00FF2170">
        <w:rPr>
          <w:rFonts w:eastAsiaTheme="minorHAnsi" w:cstheme="minorHAnsi"/>
          <w:lang w:val="en-US" w:eastAsia="en-US"/>
        </w:rPr>
        <w:t xml:space="preserve">Indonesia’s pure SOEs </w:t>
      </w:r>
      <w:r w:rsidR="009B4764">
        <w:rPr>
          <w:rFonts w:eastAsiaTheme="minorHAnsi" w:cstheme="minorHAnsi"/>
          <w:lang w:val="en-US" w:eastAsia="en-US"/>
        </w:rPr>
        <w:t>wh</w:t>
      </w:r>
      <w:r w:rsidR="00943BDC">
        <w:rPr>
          <w:rFonts w:eastAsiaTheme="minorHAnsi" w:cstheme="minorHAnsi"/>
          <w:lang w:val="en-US" w:eastAsia="en-US"/>
        </w:rPr>
        <w:t>ich</w:t>
      </w:r>
      <w:r w:rsidR="00331232" w:rsidRPr="00FF2170">
        <w:rPr>
          <w:rFonts w:eastAsiaTheme="minorHAnsi" w:cstheme="minorHAnsi"/>
          <w:lang w:val="en-US" w:eastAsia="en-US"/>
        </w:rPr>
        <w:t xml:space="preserve"> primar</w:t>
      </w:r>
      <w:r w:rsidR="00943BDC">
        <w:rPr>
          <w:rFonts w:eastAsiaTheme="minorHAnsi" w:cstheme="minorHAnsi"/>
          <w:lang w:val="en-US" w:eastAsia="en-US"/>
        </w:rPr>
        <w:t>ily needed</w:t>
      </w:r>
      <w:r w:rsidR="00331232" w:rsidRPr="00FF2170">
        <w:rPr>
          <w:rFonts w:eastAsiaTheme="minorHAnsi" w:cstheme="minorHAnsi"/>
          <w:lang w:val="en-US" w:eastAsia="en-US"/>
        </w:rPr>
        <w:t xml:space="preserve"> </w:t>
      </w:r>
      <w:r w:rsidR="00877E7A" w:rsidRPr="00FF2170">
        <w:rPr>
          <w:rFonts w:eastAsiaTheme="minorHAnsi" w:cstheme="minorHAnsi"/>
          <w:lang w:val="en-US" w:eastAsia="en-US"/>
        </w:rPr>
        <w:t>specific laws</w:t>
      </w:r>
      <w:r w:rsidR="00331232" w:rsidRPr="00FF2170">
        <w:rPr>
          <w:rFonts w:eastAsiaTheme="minorHAnsi" w:cstheme="minorHAnsi"/>
          <w:lang w:val="en-US" w:eastAsia="en-US"/>
        </w:rPr>
        <w:t xml:space="preserve"> and regulations in addition to a strong code that</w:t>
      </w:r>
      <w:r w:rsidR="00943BDC">
        <w:rPr>
          <w:rFonts w:eastAsiaTheme="minorHAnsi" w:cstheme="minorHAnsi"/>
          <w:lang w:val="en-US" w:eastAsia="en-US"/>
        </w:rPr>
        <w:t xml:space="preserve"> was</w:t>
      </w:r>
      <w:r w:rsidR="00331232" w:rsidRPr="00FF2170">
        <w:rPr>
          <w:rFonts w:eastAsiaTheme="minorHAnsi" w:cstheme="minorHAnsi"/>
          <w:lang w:val="en-US" w:eastAsia="en-US"/>
        </w:rPr>
        <w:t xml:space="preserve"> free from political interference and unprofessional </w:t>
      </w:r>
      <w:r w:rsidR="00FF2170" w:rsidRPr="00FF2170">
        <w:rPr>
          <w:rFonts w:eastAsiaTheme="minorHAnsi" w:cstheme="minorHAnsi"/>
          <w:lang w:val="en-US" w:eastAsia="en-US"/>
        </w:rPr>
        <w:t xml:space="preserve">supervisory board </w:t>
      </w:r>
      <w:r w:rsidR="00331232" w:rsidRPr="00FF2170">
        <w:rPr>
          <w:rFonts w:eastAsiaTheme="minorHAnsi" w:cstheme="minorHAnsi"/>
          <w:lang w:val="en-US" w:eastAsia="en-US"/>
        </w:rPr>
        <w:t>s and</w:t>
      </w:r>
      <w:r w:rsidR="009B4764">
        <w:rPr>
          <w:rFonts w:eastAsiaTheme="minorHAnsi" w:cstheme="minorHAnsi"/>
          <w:lang w:val="en-US" w:eastAsia="en-US"/>
        </w:rPr>
        <w:t xml:space="preserve"> </w:t>
      </w:r>
      <w:r w:rsidR="00331232" w:rsidRPr="00FF2170">
        <w:rPr>
          <w:rFonts w:eastAsiaTheme="minorHAnsi" w:cstheme="minorHAnsi"/>
          <w:lang w:val="en-US" w:eastAsia="en-US"/>
        </w:rPr>
        <w:t xml:space="preserve"> able to cope with the conflicting objectives. </w:t>
      </w:r>
    </w:p>
    <w:p w:rsidR="00331232" w:rsidRPr="00FF2170" w:rsidRDefault="00331232" w:rsidP="00877E7A">
      <w:pPr>
        <w:rPr>
          <w:rFonts w:eastAsiaTheme="minorHAnsi" w:cstheme="minorHAnsi"/>
          <w:lang w:val="en-US" w:eastAsia="en-US"/>
        </w:rPr>
      </w:pPr>
    </w:p>
    <w:p w:rsidR="00023A42" w:rsidRPr="000453C5" w:rsidRDefault="00023A42" w:rsidP="00023A42">
      <w:pPr>
        <w:pStyle w:val="ListParagraph"/>
        <w:numPr>
          <w:ilvl w:val="0"/>
          <w:numId w:val="18"/>
        </w:numPr>
        <w:rPr>
          <w:b/>
          <w:sz w:val="32"/>
          <w:szCs w:val="32"/>
          <w:u w:val="single"/>
        </w:rPr>
      </w:pPr>
      <w:r>
        <w:rPr>
          <w:b/>
          <w:sz w:val="32"/>
          <w:szCs w:val="32"/>
          <w:u w:val="single"/>
        </w:rPr>
        <w:t>Corporate Governance in SOEs –</w:t>
      </w:r>
      <w:r w:rsidRPr="003776E8">
        <w:rPr>
          <w:b/>
          <w:sz w:val="32"/>
          <w:szCs w:val="32"/>
          <w:u w:val="single"/>
        </w:rPr>
        <w:t xml:space="preserve"> </w:t>
      </w:r>
      <w:r>
        <w:rPr>
          <w:b/>
          <w:sz w:val="32"/>
          <w:szCs w:val="32"/>
          <w:u w:val="single"/>
        </w:rPr>
        <w:t>the India</w:t>
      </w:r>
      <w:r w:rsidR="00877E7A">
        <w:rPr>
          <w:b/>
          <w:sz w:val="32"/>
          <w:szCs w:val="32"/>
          <w:u w:val="single"/>
        </w:rPr>
        <w:t>n experience</w:t>
      </w:r>
      <w:r>
        <w:rPr>
          <w:b/>
          <w:sz w:val="32"/>
          <w:szCs w:val="32"/>
          <w:u w:val="single"/>
        </w:rPr>
        <w:t>.</w:t>
      </w:r>
    </w:p>
    <w:p w:rsidR="008F5F55" w:rsidRDefault="00B82F49" w:rsidP="00B82F49">
      <w:pPr>
        <w:rPr>
          <w:rFonts w:eastAsiaTheme="minorHAnsi" w:cstheme="minorHAnsi"/>
          <w:lang w:val="en-US" w:eastAsia="en-US"/>
        </w:rPr>
      </w:pPr>
      <w:r w:rsidRPr="00023A42">
        <w:rPr>
          <w:rFonts w:eastAsiaTheme="minorHAnsi" w:cstheme="minorHAnsi"/>
          <w:bCs/>
          <w:lang w:val="en-US" w:eastAsia="en-US"/>
        </w:rPr>
        <w:t>India</w:t>
      </w:r>
      <w:r w:rsidR="00023A42" w:rsidRPr="00023A42">
        <w:rPr>
          <w:rFonts w:eastAsiaTheme="minorHAnsi" w:cstheme="minorHAnsi"/>
          <w:bCs/>
          <w:lang w:val="en-US" w:eastAsia="en-US"/>
        </w:rPr>
        <w:t xml:space="preserve"> has a</w:t>
      </w:r>
      <w:r w:rsidRPr="00023A42">
        <w:rPr>
          <w:rFonts w:eastAsiaTheme="minorHAnsi" w:cstheme="minorHAnsi"/>
          <w:lang w:val="en-US" w:eastAsia="en-US"/>
        </w:rPr>
        <w:t xml:space="preserve"> complex dual ownership form</w:t>
      </w:r>
      <w:r w:rsidR="00023A42">
        <w:rPr>
          <w:rFonts w:eastAsiaTheme="minorHAnsi" w:cstheme="minorHAnsi"/>
          <w:lang w:val="en-US" w:eastAsia="en-US"/>
        </w:rPr>
        <w:t xml:space="preserve"> where a</w:t>
      </w:r>
      <w:r w:rsidRPr="00023A42">
        <w:rPr>
          <w:rFonts w:eastAsiaTheme="minorHAnsi" w:cstheme="minorHAnsi"/>
          <w:lang w:val="en-US" w:eastAsia="en-US"/>
        </w:rPr>
        <w:t xml:space="preserve"> number of bodies oversee </w:t>
      </w:r>
      <w:r w:rsidR="009B4764">
        <w:rPr>
          <w:rFonts w:eastAsiaTheme="minorHAnsi" w:cstheme="minorHAnsi"/>
          <w:lang w:val="en-US" w:eastAsia="en-US"/>
        </w:rPr>
        <w:t>the Central Public Sector Enterprises (CPSEs)</w:t>
      </w:r>
      <w:r w:rsidR="003E28CA">
        <w:rPr>
          <w:rFonts w:eastAsiaTheme="minorHAnsi" w:cstheme="minorHAnsi"/>
          <w:lang w:val="en-US" w:eastAsia="en-US"/>
        </w:rPr>
        <w:t>,</w:t>
      </w:r>
      <w:r w:rsidR="009B4764">
        <w:rPr>
          <w:rFonts w:eastAsiaTheme="minorHAnsi" w:cstheme="minorHAnsi"/>
          <w:lang w:val="en-US" w:eastAsia="en-US"/>
        </w:rPr>
        <w:t xml:space="preserve"> a</w:t>
      </w:r>
      <w:r w:rsidR="003E28CA">
        <w:rPr>
          <w:rFonts w:eastAsiaTheme="minorHAnsi" w:cstheme="minorHAnsi"/>
          <w:lang w:val="en-US" w:eastAsia="en-US"/>
        </w:rPr>
        <w:t>s</w:t>
      </w:r>
      <w:r w:rsidR="009B4764">
        <w:rPr>
          <w:rFonts w:eastAsiaTheme="minorHAnsi" w:cstheme="minorHAnsi"/>
          <w:lang w:val="en-US" w:eastAsia="en-US"/>
        </w:rPr>
        <w:t xml:space="preserve"> the </w:t>
      </w:r>
      <w:r w:rsidRPr="00023A42">
        <w:rPr>
          <w:rFonts w:eastAsiaTheme="minorHAnsi" w:cstheme="minorHAnsi"/>
          <w:lang w:val="en-US" w:eastAsia="en-US"/>
        </w:rPr>
        <w:t>SOEs</w:t>
      </w:r>
      <w:r w:rsidR="009B4764">
        <w:rPr>
          <w:rFonts w:eastAsiaTheme="minorHAnsi" w:cstheme="minorHAnsi"/>
          <w:lang w:val="en-US" w:eastAsia="en-US"/>
        </w:rPr>
        <w:t xml:space="preserve"> are more commonly referred to in India</w:t>
      </w:r>
      <w:r w:rsidRPr="00023A42">
        <w:rPr>
          <w:rFonts w:eastAsiaTheme="minorHAnsi" w:cstheme="minorHAnsi"/>
          <w:lang w:val="en-US" w:eastAsia="en-US"/>
        </w:rPr>
        <w:t>.</w:t>
      </w:r>
    </w:p>
    <w:p w:rsidR="00B82F49" w:rsidRDefault="00B82F49" w:rsidP="00B82F49">
      <w:pPr>
        <w:rPr>
          <w:rFonts w:eastAsiaTheme="minorHAnsi" w:cstheme="minorHAnsi"/>
          <w:lang w:val="en-US" w:eastAsia="en-US"/>
        </w:rPr>
      </w:pPr>
      <w:r w:rsidRPr="00023A42">
        <w:rPr>
          <w:rFonts w:eastAsiaTheme="minorHAnsi" w:cstheme="minorHAnsi"/>
          <w:lang w:val="en-US" w:eastAsia="en-US"/>
        </w:rPr>
        <w:t xml:space="preserve"> The Department of</w:t>
      </w:r>
      <w:r w:rsidR="006F2ADE" w:rsidRPr="00023A42">
        <w:rPr>
          <w:rFonts w:eastAsiaTheme="minorHAnsi" w:cstheme="minorHAnsi"/>
          <w:lang w:val="en-US" w:eastAsia="en-US"/>
        </w:rPr>
        <w:t xml:space="preserve"> </w:t>
      </w:r>
      <w:r w:rsidRPr="00023A42">
        <w:rPr>
          <w:rFonts w:eastAsiaTheme="minorHAnsi" w:cstheme="minorHAnsi"/>
          <w:lang w:val="en-US" w:eastAsia="en-US"/>
        </w:rPr>
        <w:t>Public Enterprises</w:t>
      </w:r>
      <w:r w:rsidR="00943BDC">
        <w:rPr>
          <w:rFonts w:eastAsiaTheme="minorHAnsi" w:cstheme="minorHAnsi"/>
          <w:lang w:val="en-US" w:eastAsia="en-US"/>
        </w:rPr>
        <w:t xml:space="preserve"> (DPE)</w:t>
      </w:r>
      <w:r w:rsidR="0035626A">
        <w:rPr>
          <w:rFonts w:eastAsiaTheme="minorHAnsi" w:cstheme="minorHAnsi"/>
          <w:lang w:val="en-US" w:eastAsia="en-US"/>
        </w:rPr>
        <w:t>, under the Ministry of Heavy Industries &amp; Public Enterprises,</w:t>
      </w:r>
      <w:r w:rsidRPr="00023A42">
        <w:rPr>
          <w:rFonts w:eastAsiaTheme="minorHAnsi" w:cstheme="minorHAnsi"/>
          <w:lang w:val="en-US" w:eastAsia="en-US"/>
        </w:rPr>
        <w:t xml:space="preserve"> issues guidelines on governance</w:t>
      </w:r>
      <w:r w:rsidR="006F2ADE" w:rsidRPr="00023A42">
        <w:rPr>
          <w:rFonts w:eastAsiaTheme="minorHAnsi" w:cstheme="minorHAnsi"/>
          <w:lang w:val="en-US" w:eastAsia="en-US"/>
        </w:rPr>
        <w:t xml:space="preserve"> </w:t>
      </w:r>
      <w:r w:rsidRPr="00023A42">
        <w:rPr>
          <w:rFonts w:eastAsiaTheme="minorHAnsi" w:cstheme="minorHAnsi"/>
          <w:lang w:val="en-US" w:eastAsia="en-US"/>
        </w:rPr>
        <w:t>related issues, including board appointments,</w:t>
      </w:r>
      <w:r w:rsidR="006F2ADE" w:rsidRPr="00023A42">
        <w:rPr>
          <w:rFonts w:eastAsiaTheme="minorHAnsi" w:cstheme="minorHAnsi"/>
          <w:lang w:val="en-US" w:eastAsia="en-US"/>
        </w:rPr>
        <w:t xml:space="preserve"> </w:t>
      </w:r>
      <w:r w:rsidRPr="00023A42">
        <w:rPr>
          <w:rFonts w:eastAsiaTheme="minorHAnsi" w:cstheme="minorHAnsi"/>
          <w:lang w:val="en-US" w:eastAsia="en-US"/>
        </w:rPr>
        <w:t>appointments of other personal, wages and salaries.</w:t>
      </w:r>
      <w:r w:rsidR="006F2ADE" w:rsidRPr="00023A42">
        <w:rPr>
          <w:rFonts w:eastAsiaTheme="minorHAnsi" w:cstheme="minorHAnsi"/>
          <w:lang w:val="en-US" w:eastAsia="en-US"/>
        </w:rPr>
        <w:t xml:space="preserve"> </w:t>
      </w:r>
      <w:r w:rsidRPr="00023A42">
        <w:rPr>
          <w:rFonts w:eastAsiaTheme="minorHAnsi" w:cstheme="minorHAnsi"/>
          <w:lang w:val="en-US" w:eastAsia="en-US"/>
        </w:rPr>
        <w:t xml:space="preserve">The Central Vigilance Commissioner </w:t>
      </w:r>
      <w:r w:rsidR="009B4764" w:rsidRPr="00023A42">
        <w:rPr>
          <w:rFonts w:eastAsiaTheme="minorHAnsi" w:cstheme="minorHAnsi"/>
          <w:lang w:val="en-US" w:eastAsia="en-US"/>
        </w:rPr>
        <w:t xml:space="preserve">issues </w:t>
      </w:r>
      <w:r w:rsidR="009B4764">
        <w:rPr>
          <w:rFonts w:eastAsiaTheme="minorHAnsi" w:cstheme="minorHAnsi"/>
          <w:lang w:val="en-US" w:eastAsia="en-US"/>
        </w:rPr>
        <w:t>guidelines</w:t>
      </w:r>
      <w:r w:rsidR="006F2ADE" w:rsidRPr="00023A42">
        <w:rPr>
          <w:rFonts w:eastAsiaTheme="minorHAnsi" w:cstheme="minorHAnsi"/>
          <w:lang w:val="en-US" w:eastAsia="en-US"/>
        </w:rPr>
        <w:t xml:space="preserve"> </w:t>
      </w:r>
      <w:r w:rsidRPr="00023A42">
        <w:rPr>
          <w:rFonts w:eastAsiaTheme="minorHAnsi" w:cstheme="minorHAnsi"/>
          <w:lang w:val="en-US" w:eastAsia="en-US"/>
        </w:rPr>
        <w:t>on conduct, disciplinary cases, investigations</w:t>
      </w:r>
      <w:r w:rsidR="006F2ADE" w:rsidRPr="00023A42">
        <w:rPr>
          <w:rFonts w:eastAsiaTheme="minorHAnsi" w:cstheme="minorHAnsi"/>
          <w:lang w:val="en-US" w:eastAsia="en-US"/>
        </w:rPr>
        <w:t xml:space="preserve"> </w:t>
      </w:r>
      <w:r w:rsidRPr="00023A42">
        <w:rPr>
          <w:rFonts w:eastAsiaTheme="minorHAnsi" w:cstheme="minorHAnsi"/>
          <w:lang w:val="en-US" w:eastAsia="en-US"/>
        </w:rPr>
        <w:t>and related issues. Departmental enterprises are subject</w:t>
      </w:r>
      <w:r w:rsidR="006F2ADE" w:rsidRPr="00023A42">
        <w:rPr>
          <w:rFonts w:eastAsiaTheme="minorHAnsi" w:cstheme="minorHAnsi"/>
          <w:lang w:val="en-US" w:eastAsia="en-US"/>
        </w:rPr>
        <w:t xml:space="preserve"> </w:t>
      </w:r>
      <w:r w:rsidRPr="00023A42">
        <w:rPr>
          <w:rFonts w:eastAsiaTheme="minorHAnsi" w:cstheme="minorHAnsi"/>
          <w:lang w:val="en-US" w:eastAsia="en-US"/>
        </w:rPr>
        <w:t xml:space="preserve">to a special additional audit by the </w:t>
      </w:r>
      <w:r w:rsidR="008F5F55">
        <w:rPr>
          <w:rFonts w:eastAsiaTheme="minorHAnsi" w:cstheme="minorHAnsi"/>
          <w:lang w:val="en-US" w:eastAsia="en-US"/>
        </w:rPr>
        <w:t>C</w:t>
      </w:r>
      <w:r w:rsidRPr="00023A42">
        <w:rPr>
          <w:rFonts w:eastAsiaTheme="minorHAnsi" w:cstheme="minorHAnsi"/>
          <w:lang w:val="en-US" w:eastAsia="en-US"/>
        </w:rPr>
        <w:t>omptroller</w:t>
      </w:r>
      <w:r w:rsidR="006F2ADE" w:rsidRPr="00023A42">
        <w:rPr>
          <w:rFonts w:eastAsiaTheme="minorHAnsi" w:cstheme="minorHAnsi"/>
          <w:lang w:val="en-US" w:eastAsia="en-US"/>
        </w:rPr>
        <w:t xml:space="preserve"> </w:t>
      </w:r>
      <w:r w:rsidRPr="00023A42">
        <w:rPr>
          <w:rFonts w:eastAsiaTheme="minorHAnsi" w:cstheme="minorHAnsi"/>
          <w:lang w:val="en-US" w:eastAsia="en-US"/>
        </w:rPr>
        <w:t xml:space="preserve">and </w:t>
      </w:r>
      <w:r w:rsidR="008F5F55">
        <w:rPr>
          <w:rFonts w:eastAsiaTheme="minorHAnsi" w:cstheme="minorHAnsi"/>
          <w:lang w:val="en-US" w:eastAsia="en-US"/>
        </w:rPr>
        <w:t>A</w:t>
      </w:r>
      <w:r w:rsidRPr="00023A42">
        <w:rPr>
          <w:rFonts w:eastAsiaTheme="minorHAnsi" w:cstheme="minorHAnsi"/>
          <w:lang w:val="en-US" w:eastAsia="en-US"/>
        </w:rPr>
        <w:t xml:space="preserve">uditor </w:t>
      </w:r>
      <w:r w:rsidR="008F5F55">
        <w:rPr>
          <w:rFonts w:eastAsiaTheme="minorHAnsi" w:cstheme="minorHAnsi"/>
          <w:lang w:val="en-US" w:eastAsia="en-US"/>
        </w:rPr>
        <w:t>G</w:t>
      </w:r>
      <w:r w:rsidRPr="00023A42">
        <w:rPr>
          <w:rFonts w:eastAsiaTheme="minorHAnsi" w:cstheme="minorHAnsi"/>
          <w:lang w:val="en-US" w:eastAsia="en-US"/>
        </w:rPr>
        <w:t>eneral. The Central Bureau of Investigation,</w:t>
      </w:r>
      <w:r w:rsidR="006F2ADE" w:rsidRPr="00023A42">
        <w:rPr>
          <w:rFonts w:eastAsiaTheme="minorHAnsi" w:cstheme="minorHAnsi"/>
          <w:lang w:val="en-US" w:eastAsia="en-US"/>
        </w:rPr>
        <w:t xml:space="preserve"> </w:t>
      </w:r>
      <w:r w:rsidRPr="00023A42">
        <w:rPr>
          <w:rFonts w:eastAsiaTheme="minorHAnsi" w:cstheme="minorHAnsi"/>
          <w:lang w:val="en-US" w:eastAsia="en-US"/>
        </w:rPr>
        <w:t>an autonomous police organization of the government,</w:t>
      </w:r>
      <w:r w:rsidR="006F2ADE" w:rsidRPr="00023A42">
        <w:rPr>
          <w:rFonts w:eastAsiaTheme="minorHAnsi" w:cstheme="minorHAnsi"/>
          <w:lang w:val="en-US" w:eastAsia="en-US"/>
        </w:rPr>
        <w:t xml:space="preserve"> </w:t>
      </w:r>
      <w:r w:rsidRPr="00023A42">
        <w:rPr>
          <w:rFonts w:eastAsiaTheme="minorHAnsi" w:cstheme="minorHAnsi"/>
          <w:lang w:val="en-US" w:eastAsia="en-US"/>
        </w:rPr>
        <w:t>assumes jurisdiction over the employees</w:t>
      </w:r>
      <w:r w:rsidR="006F2ADE" w:rsidRPr="00023A42">
        <w:rPr>
          <w:rFonts w:eastAsiaTheme="minorHAnsi" w:cstheme="minorHAnsi"/>
          <w:lang w:val="en-US" w:eastAsia="en-US"/>
        </w:rPr>
        <w:t xml:space="preserve"> </w:t>
      </w:r>
      <w:r w:rsidRPr="00023A42">
        <w:rPr>
          <w:rFonts w:eastAsiaTheme="minorHAnsi" w:cstheme="minorHAnsi"/>
          <w:lang w:val="en-US" w:eastAsia="en-US"/>
        </w:rPr>
        <w:t>and board members. The Planning Commission has a</w:t>
      </w:r>
      <w:r w:rsidR="006F2ADE" w:rsidRPr="00023A42">
        <w:rPr>
          <w:rFonts w:eastAsiaTheme="minorHAnsi" w:cstheme="minorHAnsi"/>
          <w:lang w:val="en-US" w:eastAsia="en-US"/>
        </w:rPr>
        <w:t xml:space="preserve"> </w:t>
      </w:r>
      <w:r w:rsidRPr="00023A42">
        <w:rPr>
          <w:rFonts w:eastAsiaTheme="minorHAnsi" w:cstheme="minorHAnsi"/>
          <w:lang w:val="en-US" w:eastAsia="en-US"/>
        </w:rPr>
        <w:t>role in planning and project proposals. The Public</w:t>
      </w:r>
      <w:r w:rsidR="006F2ADE" w:rsidRPr="00023A42">
        <w:rPr>
          <w:rFonts w:eastAsiaTheme="minorHAnsi" w:cstheme="minorHAnsi"/>
          <w:lang w:val="en-US" w:eastAsia="en-US"/>
        </w:rPr>
        <w:t xml:space="preserve"> </w:t>
      </w:r>
      <w:r w:rsidRPr="00023A42">
        <w:rPr>
          <w:rFonts w:eastAsiaTheme="minorHAnsi" w:cstheme="minorHAnsi"/>
          <w:lang w:val="en-US" w:eastAsia="en-US"/>
        </w:rPr>
        <w:t xml:space="preserve">Enterprise Selection </w:t>
      </w:r>
      <w:r w:rsidR="009B4764" w:rsidRPr="00023A42">
        <w:rPr>
          <w:rFonts w:eastAsiaTheme="minorHAnsi" w:cstheme="minorHAnsi"/>
          <w:lang w:val="en-US" w:eastAsia="en-US"/>
        </w:rPr>
        <w:t>Board</w:t>
      </w:r>
      <w:r w:rsidR="009B4764">
        <w:rPr>
          <w:rFonts w:eastAsiaTheme="minorHAnsi" w:cstheme="minorHAnsi"/>
          <w:lang w:val="en-US" w:eastAsia="en-US"/>
        </w:rPr>
        <w:t xml:space="preserve"> (PESB)</w:t>
      </w:r>
      <w:r w:rsidRPr="00023A42">
        <w:rPr>
          <w:rFonts w:eastAsiaTheme="minorHAnsi" w:cstheme="minorHAnsi"/>
          <w:lang w:val="en-US" w:eastAsia="en-US"/>
        </w:rPr>
        <w:t xml:space="preserve"> recommends and selects</w:t>
      </w:r>
      <w:r w:rsidR="006F2ADE" w:rsidRPr="00023A42">
        <w:rPr>
          <w:rFonts w:eastAsiaTheme="minorHAnsi" w:cstheme="minorHAnsi"/>
          <w:lang w:val="en-US" w:eastAsia="en-US"/>
        </w:rPr>
        <w:t xml:space="preserve"> </w:t>
      </w:r>
      <w:r w:rsidRPr="00023A42">
        <w:rPr>
          <w:rFonts w:eastAsiaTheme="minorHAnsi" w:cstheme="minorHAnsi"/>
          <w:lang w:val="en-US" w:eastAsia="en-US"/>
        </w:rPr>
        <w:t>potential SOE board members. Finally, it is the various</w:t>
      </w:r>
      <w:r w:rsidR="006F2ADE" w:rsidRPr="00023A42">
        <w:rPr>
          <w:rFonts w:eastAsiaTheme="minorHAnsi" w:cstheme="minorHAnsi"/>
          <w:lang w:val="en-US" w:eastAsia="en-US"/>
        </w:rPr>
        <w:t xml:space="preserve"> </w:t>
      </w:r>
      <w:r w:rsidRPr="00023A42">
        <w:rPr>
          <w:rFonts w:eastAsiaTheme="minorHAnsi" w:cstheme="minorHAnsi"/>
          <w:lang w:val="en-US" w:eastAsia="en-US"/>
        </w:rPr>
        <w:t>ministries that exercise ownership rights and set</w:t>
      </w:r>
      <w:r w:rsidR="006F2ADE" w:rsidRPr="00023A42">
        <w:rPr>
          <w:rFonts w:eastAsiaTheme="minorHAnsi" w:cstheme="minorHAnsi"/>
          <w:lang w:val="en-US" w:eastAsia="en-US"/>
        </w:rPr>
        <w:t xml:space="preserve"> </w:t>
      </w:r>
      <w:r w:rsidRPr="00023A42">
        <w:rPr>
          <w:rFonts w:eastAsiaTheme="minorHAnsi" w:cstheme="minorHAnsi"/>
          <w:lang w:val="en-US" w:eastAsia="en-US"/>
        </w:rPr>
        <w:t>policy objectives (sometimes together with the legislature)</w:t>
      </w:r>
      <w:r w:rsidR="008F5F55">
        <w:rPr>
          <w:rFonts w:eastAsiaTheme="minorHAnsi" w:cstheme="minorHAnsi"/>
          <w:lang w:val="en-US" w:eastAsia="en-US"/>
        </w:rPr>
        <w:t xml:space="preserve"> and they</w:t>
      </w:r>
      <w:r w:rsidRPr="00023A42">
        <w:rPr>
          <w:rFonts w:eastAsiaTheme="minorHAnsi" w:cstheme="minorHAnsi"/>
          <w:lang w:val="en-US" w:eastAsia="en-US"/>
        </w:rPr>
        <w:t xml:space="preserve"> make the final choice for certain</w:t>
      </w:r>
      <w:r w:rsidR="006F2ADE" w:rsidRPr="00023A42">
        <w:rPr>
          <w:rFonts w:eastAsiaTheme="minorHAnsi" w:cstheme="minorHAnsi"/>
          <w:lang w:val="en-US" w:eastAsia="en-US"/>
        </w:rPr>
        <w:t xml:space="preserve"> </w:t>
      </w:r>
      <w:r w:rsidRPr="00023A42">
        <w:rPr>
          <w:rFonts w:eastAsiaTheme="minorHAnsi" w:cstheme="minorHAnsi"/>
          <w:lang w:val="en-US" w:eastAsia="en-US"/>
        </w:rPr>
        <w:t>board members and the chief executive</w:t>
      </w:r>
      <w:r w:rsidR="008F5F55">
        <w:rPr>
          <w:rFonts w:eastAsiaTheme="minorHAnsi" w:cstheme="minorHAnsi"/>
          <w:lang w:val="en-US" w:eastAsia="en-US"/>
        </w:rPr>
        <w:t xml:space="preserve">, </w:t>
      </w:r>
      <w:r w:rsidRPr="00023A42">
        <w:rPr>
          <w:rFonts w:eastAsiaTheme="minorHAnsi" w:cstheme="minorHAnsi"/>
          <w:lang w:val="en-US" w:eastAsia="en-US"/>
        </w:rPr>
        <w:t>through wh</w:t>
      </w:r>
      <w:r w:rsidR="008F5F55">
        <w:rPr>
          <w:rFonts w:eastAsiaTheme="minorHAnsi" w:cstheme="minorHAnsi"/>
          <w:lang w:val="en-US" w:eastAsia="en-US"/>
        </w:rPr>
        <w:t>om</w:t>
      </w:r>
      <w:r w:rsidRPr="00023A42">
        <w:rPr>
          <w:rFonts w:eastAsiaTheme="minorHAnsi" w:cstheme="minorHAnsi"/>
          <w:lang w:val="en-US" w:eastAsia="en-US"/>
        </w:rPr>
        <w:t xml:space="preserve"> they exert substantial influence</w:t>
      </w:r>
      <w:r w:rsidR="008F5F55">
        <w:rPr>
          <w:rFonts w:eastAsiaTheme="minorHAnsi" w:cstheme="minorHAnsi"/>
          <w:lang w:val="en-US" w:eastAsia="en-US"/>
        </w:rPr>
        <w:t xml:space="preserve"> </w:t>
      </w:r>
      <w:r w:rsidRPr="00023A42">
        <w:rPr>
          <w:rFonts w:eastAsiaTheme="minorHAnsi" w:cstheme="minorHAnsi"/>
          <w:lang w:val="en-US" w:eastAsia="en-US"/>
        </w:rPr>
        <w:t>and</w:t>
      </w:r>
      <w:r w:rsidR="006F2ADE" w:rsidRPr="00023A42">
        <w:rPr>
          <w:rFonts w:eastAsiaTheme="minorHAnsi" w:cstheme="minorHAnsi"/>
          <w:lang w:val="en-US" w:eastAsia="en-US"/>
        </w:rPr>
        <w:t xml:space="preserve"> </w:t>
      </w:r>
      <w:r w:rsidRPr="00023A42">
        <w:rPr>
          <w:rFonts w:eastAsiaTheme="minorHAnsi" w:cstheme="minorHAnsi"/>
          <w:lang w:val="en-US" w:eastAsia="en-US"/>
        </w:rPr>
        <w:t>can also issue directives to and veto major decisions</w:t>
      </w:r>
      <w:r w:rsidR="006F2ADE" w:rsidRPr="00023A42">
        <w:rPr>
          <w:rFonts w:eastAsiaTheme="minorHAnsi" w:cstheme="minorHAnsi"/>
          <w:lang w:val="en-US" w:eastAsia="en-US"/>
        </w:rPr>
        <w:t xml:space="preserve"> </w:t>
      </w:r>
      <w:r w:rsidRPr="00023A42">
        <w:rPr>
          <w:rFonts w:eastAsiaTheme="minorHAnsi" w:cstheme="minorHAnsi"/>
          <w:lang w:val="en-US" w:eastAsia="en-US"/>
        </w:rPr>
        <w:t>of SOE boards.</w:t>
      </w:r>
    </w:p>
    <w:p w:rsidR="001F607E" w:rsidRPr="00877E7A" w:rsidRDefault="001F607E" w:rsidP="001F607E">
      <w:pPr>
        <w:spacing w:after="0"/>
        <w:rPr>
          <w:rFonts w:cstheme="minorHAnsi"/>
          <w:bCs/>
          <w:lang w:val="en-US"/>
        </w:rPr>
      </w:pPr>
      <w:r w:rsidRPr="00877E7A">
        <w:rPr>
          <w:rFonts w:cstheme="minorHAnsi"/>
          <w:bCs/>
          <w:lang w:val="en-US"/>
        </w:rPr>
        <w:lastRenderedPageBreak/>
        <w:t>In June 2007 the D</w:t>
      </w:r>
      <w:r w:rsidR="00943BDC">
        <w:rPr>
          <w:rFonts w:cstheme="minorHAnsi"/>
          <w:bCs/>
          <w:lang w:val="en-US"/>
        </w:rPr>
        <w:t>PE</w:t>
      </w:r>
      <w:r w:rsidRPr="00877E7A">
        <w:rPr>
          <w:rFonts w:cstheme="minorHAnsi"/>
          <w:bCs/>
          <w:lang w:val="en-US"/>
        </w:rPr>
        <w:t xml:space="preserve"> issued Guidelines on Corporate Governance for CPSEs on an experimental basis, these which was adopted by CPSEs on a voluntary basis in 2008-09. In the light of the experience gained, the Guidelines were modified and then adopted on a mandatory basis in May 2010; these now form the cornerstone for corporate governances in all CPSEs.</w:t>
      </w:r>
    </w:p>
    <w:p w:rsidR="001F607E" w:rsidRPr="00877E7A" w:rsidRDefault="001F607E" w:rsidP="001F607E">
      <w:pPr>
        <w:spacing w:after="0"/>
        <w:rPr>
          <w:rFonts w:cstheme="minorHAnsi"/>
          <w:bCs/>
          <w:lang w:val="en-US"/>
        </w:rPr>
      </w:pPr>
    </w:p>
    <w:p w:rsidR="001F607E" w:rsidRPr="00877E7A" w:rsidRDefault="001F607E" w:rsidP="001F607E">
      <w:pPr>
        <w:spacing w:after="0"/>
        <w:rPr>
          <w:rFonts w:cstheme="minorHAnsi"/>
          <w:bCs/>
          <w:lang w:val="en-US"/>
        </w:rPr>
      </w:pPr>
      <w:r w:rsidRPr="00877E7A">
        <w:rPr>
          <w:rFonts w:cstheme="minorHAnsi"/>
          <w:bCs/>
          <w:lang w:val="en-US"/>
        </w:rPr>
        <w:t xml:space="preserve"> The guidelines</w:t>
      </w:r>
      <w:r w:rsidRPr="00877E7A">
        <w:rPr>
          <w:rFonts w:cstheme="minorHAnsi"/>
          <w:bCs/>
          <w:vertAlign w:val="superscript"/>
          <w:lang w:val="en-US"/>
        </w:rPr>
        <w:footnoteReference w:id="48"/>
      </w:r>
      <w:r w:rsidRPr="00877E7A">
        <w:rPr>
          <w:rFonts w:cstheme="minorHAnsi"/>
          <w:bCs/>
          <w:lang w:val="en-US"/>
        </w:rPr>
        <w:t xml:space="preserve"> on Corporate Governance apply to listed as well as unlisted CPSEs and cover the following issues:</w:t>
      </w:r>
    </w:p>
    <w:p w:rsidR="001F607E" w:rsidRPr="00877E7A" w:rsidRDefault="001F607E" w:rsidP="001F607E">
      <w:pPr>
        <w:numPr>
          <w:ilvl w:val="0"/>
          <w:numId w:val="20"/>
        </w:numPr>
        <w:spacing w:after="0"/>
        <w:rPr>
          <w:rFonts w:cstheme="minorHAnsi"/>
          <w:bCs/>
          <w:lang w:val="en-US"/>
        </w:rPr>
      </w:pPr>
      <w:r w:rsidRPr="00877E7A">
        <w:rPr>
          <w:rFonts w:cstheme="minorHAnsi"/>
          <w:bCs/>
          <w:lang w:val="en-US"/>
        </w:rPr>
        <w:t>Board of Directors</w:t>
      </w:r>
    </w:p>
    <w:p w:rsidR="001F607E" w:rsidRPr="00877E7A" w:rsidRDefault="001F607E" w:rsidP="001F607E">
      <w:pPr>
        <w:numPr>
          <w:ilvl w:val="0"/>
          <w:numId w:val="20"/>
        </w:numPr>
        <w:spacing w:after="0"/>
        <w:rPr>
          <w:rFonts w:cstheme="minorHAnsi"/>
          <w:bCs/>
          <w:lang w:val="en-US"/>
        </w:rPr>
      </w:pPr>
      <w:r w:rsidRPr="00877E7A">
        <w:rPr>
          <w:rFonts w:cstheme="minorHAnsi"/>
          <w:bCs/>
          <w:lang w:val="en-US"/>
        </w:rPr>
        <w:t>Audit Committee</w:t>
      </w:r>
      <w:r w:rsidRPr="00877E7A">
        <w:rPr>
          <w:rFonts w:cstheme="minorHAnsi"/>
          <w:bCs/>
          <w:lang w:val="en-US"/>
        </w:rPr>
        <w:tab/>
      </w:r>
    </w:p>
    <w:p w:rsidR="001F607E" w:rsidRPr="00877E7A" w:rsidRDefault="001F607E" w:rsidP="001F607E">
      <w:pPr>
        <w:numPr>
          <w:ilvl w:val="0"/>
          <w:numId w:val="20"/>
        </w:numPr>
        <w:spacing w:after="0"/>
        <w:rPr>
          <w:rFonts w:cstheme="minorHAnsi"/>
          <w:bCs/>
          <w:lang w:val="en-US"/>
        </w:rPr>
      </w:pPr>
      <w:r w:rsidRPr="00877E7A">
        <w:rPr>
          <w:rFonts w:cstheme="minorHAnsi"/>
          <w:bCs/>
          <w:lang w:val="en-US"/>
        </w:rPr>
        <w:t>Remuneration Committee</w:t>
      </w:r>
    </w:p>
    <w:p w:rsidR="001F607E" w:rsidRPr="00877E7A" w:rsidRDefault="001F607E" w:rsidP="001F607E">
      <w:pPr>
        <w:numPr>
          <w:ilvl w:val="0"/>
          <w:numId w:val="20"/>
        </w:numPr>
        <w:spacing w:after="0"/>
        <w:rPr>
          <w:rFonts w:cstheme="minorHAnsi"/>
          <w:bCs/>
          <w:lang w:val="en-US"/>
        </w:rPr>
      </w:pPr>
      <w:r w:rsidRPr="00877E7A">
        <w:rPr>
          <w:rFonts w:cstheme="minorHAnsi"/>
          <w:bCs/>
          <w:lang w:val="en-US"/>
        </w:rPr>
        <w:t>Subsidiary Companies</w:t>
      </w:r>
    </w:p>
    <w:p w:rsidR="001F607E" w:rsidRPr="00877E7A" w:rsidRDefault="001F607E" w:rsidP="001F607E">
      <w:pPr>
        <w:numPr>
          <w:ilvl w:val="0"/>
          <w:numId w:val="20"/>
        </w:numPr>
        <w:spacing w:after="0"/>
        <w:rPr>
          <w:rFonts w:cstheme="minorHAnsi"/>
          <w:bCs/>
          <w:lang w:val="en-US"/>
        </w:rPr>
      </w:pPr>
      <w:r w:rsidRPr="00877E7A">
        <w:rPr>
          <w:rFonts w:cstheme="minorHAnsi"/>
          <w:bCs/>
          <w:lang w:val="en-US"/>
        </w:rPr>
        <w:t>Disclosures</w:t>
      </w:r>
    </w:p>
    <w:p w:rsidR="001F607E" w:rsidRPr="00877E7A" w:rsidRDefault="001F607E" w:rsidP="001F607E">
      <w:pPr>
        <w:numPr>
          <w:ilvl w:val="0"/>
          <w:numId w:val="20"/>
        </w:numPr>
        <w:spacing w:after="0"/>
        <w:rPr>
          <w:rFonts w:cstheme="minorHAnsi"/>
          <w:bCs/>
          <w:lang w:val="en-US"/>
        </w:rPr>
      </w:pPr>
      <w:r w:rsidRPr="00877E7A">
        <w:rPr>
          <w:rFonts w:cstheme="minorHAnsi"/>
          <w:bCs/>
          <w:lang w:val="en-US"/>
        </w:rPr>
        <w:t>Report, Compliance and Schedule of Implementation.</w:t>
      </w:r>
    </w:p>
    <w:p w:rsidR="001F607E" w:rsidRPr="00877E7A" w:rsidRDefault="001F607E" w:rsidP="001F607E">
      <w:pPr>
        <w:spacing w:after="0"/>
        <w:rPr>
          <w:rFonts w:cstheme="minorHAnsi"/>
          <w:bCs/>
          <w:lang w:val="en-US"/>
        </w:rPr>
      </w:pPr>
    </w:p>
    <w:p w:rsidR="001F607E" w:rsidRPr="00877E7A" w:rsidRDefault="001F607E" w:rsidP="001F607E">
      <w:pPr>
        <w:spacing w:after="0"/>
        <w:rPr>
          <w:rFonts w:cstheme="minorHAnsi"/>
          <w:bCs/>
          <w:lang w:val="en-US"/>
        </w:rPr>
      </w:pPr>
      <w:r w:rsidRPr="00877E7A">
        <w:rPr>
          <w:rFonts w:cstheme="minorHAnsi"/>
          <w:bCs/>
          <w:lang w:val="en-US"/>
        </w:rPr>
        <w:t>In so far as listed CPSEs are concerned, they have to follow the Securities &amp; Exchange Board of India (SEBI) Guidelines on Corporate Governance as prescribed from time to time</w:t>
      </w:r>
      <w:r w:rsidRPr="00877E7A">
        <w:rPr>
          <w:rStyle w:val="FootnoteReference"/>
          <w:rFonts w:cstheme="minorHAnsi"/>
          <w:bCs/>
          <w:lang w:val="en-US"/>
        </w:rPr>
        <w:footnoteReference w:id="49"/>
      </w:r>
      <w:r w:rsidRPr="00877E7A">
        <w:rPr>
          <w:rFonts w:cstheme="minorHAnsi"/>
          <w:bCs/>
          <w:lang w:val="en-US"/>
        </w:rPr>
        <w:t xml:space="preserve">  addition</w:t>
      </w:r>
      <w:r w:rsidR="003E28CA">
        <w:rPr>
          <w:rFonts w:cstheme="minorHAnsi"/>
          <w:bCs/>
          <w:lang w:val="en-US"/>
        </w:rPr>
        <w:t>ally</w:t>
      </w:r>
      <w:r w:rsidRPr="00877E7A">
        <w:rPr>
          <w:rFonts w:cstheme="minorHAnsi"/>
          <w:bCs/>
          <w:lang w:val="en-US"/>
        </w:rPr>
        <w:t>, they are required to follow those provisions in the</w:t>
      </w:r>
      <w:r w:rsidR="003E28CA">
        <w:rPr>
          <w:rFonts w:cstheme="minorHAnsi"/>
          <w:bCs/>
          <w:lang w:val="en-US"/>
        </w:rPr>
        <w:t xml:space="preserve"> DPE</w:t>
      </w:r>
      <w:r w:rsidRPr="00877E7A">
        <w:rPr>
          <w:rFonts w:cstheme="minorHAnsi"/>
          <w:bCs/>
          <w:lang w:val="en-US"/>
        </w:rPr>
        <w:t xml:space="preserve"> prescribed guidelines on Corporate Governance which do not exist in the SEBI Guidelines and </w:t>
      </w:r>
      <w:r w:rsidR="003E28CA">
        <w:rPr>
          <w:rFonts w:cstheme="minorHAnsi"/>
          <w:bCs/>
          <w:lang w:val="en-US"/>
        </w:rPr>
        <w:t>which</w:t>
      </w:r>
      <w:r w:rsidRPr="00877E7A">
        <w:rPr>
          <w:rFonts w:cstheme="minorHAnsi"/>
          <w:bCs/>
          <w:lang w:val="en-US"/>
        </w:rPr>
        <w:t xml:space="preserve"> do not contradict any of the provisions of the SEBI Guidelines. </w:t>
      </w:r>
    </w:p>
    <w:p w:rsidR="009B4764" w:rsidRDefault="001F607E" w:rsidP="001F607E">
      <w:pPr>
        <w:spacing w:after="0"/>
        <w:rPr>
          <w:rFonts w:cstheme="minorHAnsi"/>
          <w:bCs/>
          <w:lang w:val="en-US"/>
        </w:rPr>
      </w:pPr>
      <w:r w:rsidRPr="00877E7A">
        <w:rPr>
          <w:rFonts w:cstheme="minorHAnsi"/>
          <w:bCs/>
          <w:lang w:val="en-US"/>
        </w:rPr>
        <w:t xml:space="preserve"> </w:t>
      </w:r>
    </w:p>
    <w:p w:rsidR="001F607E" w:rsidRPr="00877E7A" w:rsidRDefault="001F607E" w:rsidP="001F607E">
      <w:pPr>
        <w:spacing w:after="0"/>
        <w:rPr>
          <w:rFonts w:cstheme="minorHAnsi"/>
          <w:bCs/>
          <w:lang w:val="en-US"/>
        </w:rPr>
      </w:pPr>
      <w:r w:rsidRPr="00877E7A">
        <w:rPr>
          <w:rFonts w:cstheme="minorHAnsi"/>
          <w:bCs/>
          <w:lang w:val="en-US"/>
        </w:rPr>
        <w:t>In addition to the mandatory corporate governance guidelines issued by the DPE, the CPSEs are also governed by the Companies Act, 1956 and regulations of various authorities like Comptroller and Auditor General of India (C&amp;AG), Central Vigilance Commission (CVC), Administrative Ministries, and other nodal Ministries. The Right to Information Act 2005 is also applicable to the CPSEs</w:t>
      </w:r>
      <w:r w:rsidRPr="00877E7A">
        <w:rPr>
          <w:rStyle w:val="FootnoteReference"/>
          <w:rFonts w:cstheme="minorHAnsi"/>
          <w:bCs/>
          <w:lang w:val="en-US"/>
        </w:rPr>
        <w:footnoteReference w:id="50"/>
      </w:r>
      <w:r w:rsidRPr="00877E7A">
        <w:rPr>
          <w:rFonts w:cstheme="minorHAnsi"/>
          <w:bCs/>
          <w:lang w:val="en-US"/>
        </w:rPr>
        <w:t>.</w:t>
      </w:r>
    </w:p>
    <w:p w:rsidR="001F607E" w:rsidRPr="00877E7A" w:rsidRDefault="001F607E" w:rsidP="001F607E">
      <w:pPr>
        <w:spacing w:after="0"/>
        <w:rPr>
          <w:rFonts w:cstheme="minorHAnsi"/>
          <w:bCs/>
          <w:lang w:val="en-US"/>
        </w:rPr>
      </w:pPr>
    </w:p>
    <w:p w:rsidR="001F607E" w:rsidRPr="00877E7A" w:rsidRDefault="001F607E" w:rsidP="001F607E">
      <w:pPr>
        <w:spacing w:after="0"/>
        <w:rPr>
          <w:rFonts w:cstheme="minorHAnsi"/>
          <w:bCs/>
          <w:lang w:val="en-US"/>
        </w:rPr>
      </w:pPr>
      <w:r w:rsidRPr="00877E7A">
        <w:rPr>
          <w:rFonts w:cstheme="minorHAnsi"/>
          <w:bCs/>
          <w:lang w:val="en-US"/>
        </w:rPr>
        <w:t xml:space="preserve">DPE </w:t>
      </w:r>
      <w:r w:rsidR="009B4764">
        <w:rPr>
          <w:rFonts w:cstheme="minorHAnsi"/>
          <w:bCs/>
          <w:lang w:val="en-US"/>
        </w:rPr>
        <w:t>believes</w:t>
      </w:r>
      <w:r w:rsidRPr="00877E7A">
        <w:rPr>
          <w:rFonts w:cstheme="minorHAnsi"/>
          <w:bCs/>
          <w:lang w:val="en-US"/>
        </w:rPr>
        <w:t xml:space="preserve"> that, because of the implementation of its guidelines, key principles of Corporate Governance are in vogue in </w:t>
      </w:r>
      <w:r w:rsidR="009B4764">
        <w:rPr>
          <w:rFonts w:cstheme="minorHAnsi"/>
          <w:bCs/>
          <w:lang w:val="en-US"/>
        </w:rPr>
        <w:t xml:space="preserve">CPSEs </w:t>
      </w:r>
      <w:r w:rsidRPr="00877E7A">
        <w:rPr>
          <w:rStyle w:val="FootnoteReference"/>
          <w:rFonts w:cstheme="minorHAnsi"/>
          <w:bCs/>
          <w:lang w:val="en-US"/>
        </w:rPr>
        <w:footnoteReference w:id="51"/>
      </w:r>
      <w:r w:rsidRPr="00877E7A">
        <w:rPr>
          <w:rFonts w:cstheme="minorHAnsi"/>
          <w:bCs/>
          <w:lang w:val="en-US"/>
        </w:rPr>
        <w:t xml:space="preserve"> because (a) the Chairman, Managing Director and Directors are appointed independently through a prescribed procedure; (b) Statutory auditors are appointed independently by the Comptroller &amp; Auditor General; (c) Arbitrary actions, if any, of the Management can be challenged through writ petitions; (d) Remuneration of Directors, employees, etc. are determined on the basis of recommendations of Pay Committees constituted for this purpose; and so on.  </w:t>
      </w:r>
    </w:p>
    <w:p w:rsidR="001F607E" w:rsidRPr="00877E7A" w:rsidRDefault="001F607E" w:rsidP="001F607E">
      <w:pPr>
        <w:spacing w:after="0"/>
        <w:rPr>
          <w:rFonts w:cstheme="minorHAnsi"/>
          <w:bCs/>
          <w:lang w:val="en-US"/>
        </w:rPr>
      </w:pPr>
    </w:p>
    <w:p w:rsidR="001F607E" w:rsidRPr="00877E7A" w:rsidRDefault="001F607E" w:rsidP="001F607E">
      <w:pPr>
        <w:spacing w:after="0"/>
        <w:rPr>
          <w:rFonts w:cstheme="minorHAnsi"/>
          <w:bCs/>
          <w:lang w:val="en-US"/>
        </w:rPr>
      </w:pPr>
      <w:r w:rsidRPr="00877E7A">
        <w:rPr>
          <w:rFonts w:cstheme="minorHAnsi"/>
          <w:bCs/>
          <w:lang w:val="en-US"/>
        </w:rPr>
        <w:t xml:space="preserve">However, despite the various initiatives that have been taken by the GoI and the guidelines that have been issued for better corporate governance in </w:t>
      </w:r>
      <w:r w:rsidR="00943BDC">
        <w:rPr>
          <w:rFonts w:cstheme="minorHAnsi"/>
          <w:bCs/>
          <w:lang w:val="en-US"/>
        </w:rPr>
        <w:t>C</w:t>
      </w:r>
      <w:r w:rsidRPr="00877E7A">
        <w:rPr>
          <w:rFonts w:cstheme="minorHAnsi"/>
          <w:bCs/>
          <w:lang w:val="en-US"/>
        </w:rPr>
        <w:t>PSEs, the</w:t>
      </w:r>
      <w:r w:rsidR="00943BDC">
        <w:rPr>
          <w:rFonts w:cstheme="minorHAnsi"/>
          <w:bCs/>
          <w:lang w:val="en-US"/>
        </w:rPr>
        <w:t xml:space="preserve"> C</w:t>
      </w:r>
      <w:r w:rsidRPr="00877E7A">
        <w:rPr>
          <w:rFonts w:cstheme="minorHAnsi"/>
          <w:bCs/>
          <w:lang w:val="en-US"/>
        </w:rPr>
        <w:t>PSEs are constrained from acting as normal commercial organizations since some judicial pronouncements have declared public enterprises to be an</w:t>
      </w:r>
      <w:r w:rsidRPr="00877E7A">
        <w:rPr>
          <w:rFonts w:cstheme="minorHAnsi"/>
          <w:bCs/>
          <w:i/>
          <w:lang w:val="en-US"/>
        </w:rPr>
        <w:t xml:space="preserve"> </w:t>
      </w:r>
      <w:r w:rsidRPr="00877E7A">
        <w:rPr>
          <w:rFonts w:cstheme="minorHAnsi"/>
          <w:bCs/>
          <w:lang w:val="en-US"/>
        </w:rPr>
        <w:t xml:space="preserve">extension or arm of </w:t>
      </w:r>
      <w:r w:rsidRPr="00877E7A">
        <w:rPr>
          <w:rFonts w:cstheme="minorHAnsi"/>
          <w:bCs/>
          <w:lang w:val="en-US"/>
        </w:rPr>
        <w:lastRenderedPageBreak/>
        <w:t>the State under Article 12 of the Constitution</w:t>
      </w:r>
      <w:r w:rsidRPr="00877E7A">
        <w:rPr>
          <w:rFonts w:cstheme="minorHAnsi"/>
          <w:bCs/>
          <w:vertAlign w:val="superscript"/>
          <w:lang w:val="en-US"/>
        </w:rPr>
        <w:footnoteReference w:id="52"/>
      </w:r>
      <w:r w:rsidRPr="00877E7A">
        <w:rPr>
          <w:rFonts w:cstheme="minorHAnsi"/>
          <w:bCs/>
          <w:lang w:val="en-US"/>
        </w:rPr>
        <w:t xml:space="preserve"> leading to their functioning in an environment which undermines the entrepreneurial and commercial functioning of public enterprises and puts them at a disadvantageous position vis-à-vis their private sector counterparts and competitors. As the State is the majority shareholder, the State owned enterprise have to work under the aegis of the State and are, therefore, subject to multiple levels of authority and reviews which </w:t>
      </w:r>
      <w:r w:rsidR="00943BDC">
        <w:rPr>
          <w:rFonts w:cstheme="minorHAnsi"/>
          <w:bCs/>
          <w:lang w:val="en-US"/>
        </w:rPr>
        <w:t xml:space="preserve">not only </w:t>
      </w:r>
      <w:r w:rsidRPr="00877E7A">
        <w:rPr>
          <w:rFonts w:cstheme="minorHAnsi"/>
          <w:bCs/>
          <w:lang w:val="en-US"/>
        </w:rPr>
        <w:t xml:space="preserve">can be quite onerous </w:t>
      </w:r>
      <w:r w:rsidR="00943BDC">
        <w:rPr>
          <w:rFonts w:cstheme="minorHAnsi"/>
          <w:bCs/>
          <w:lang w:val="en-US"/>
        </w:rPr>
        <w:t>but also quite</w:t>
      </w:r>
      <w:r w:rsidRPr="00877E7A">
        <w:rPr>
          <w:rFonts w:cstheme="minorHAnsi"/>
          <w:bCs/>
          <w:lang w:val="en-US"/>
        </w:rPr>
        <w:t xml:space="preserve"> time </w:t>
      </w:r>
      <w:r w:rsidR="00943BDC" w:rsidRPr="00877E7A">
        <w:rPr>
          <w:rFonts w:cstheme="minorHAnsi"/>
          <w:bCs/>
          <w:lang w:val="en-US"/>
        </w:rPr>
        <w:t>consuming</w:t>
      </w:r>
      <w:r w:rsidRPr="00877E7A">
        <w:rPr>
          <w:rFonts w:cstheme="minorHAnsi"/>
          <w:bCs/>
          <w:vertAlign w:val="superscript"/>
          <w:lang w:val="en-US"/>
        </w:rPr>
        <w:footnoteReference w:id="53"/>
      </w:r>
      <w:r w:rsidRPr="00877E7A">
        <w:rPr>
          <w:rFonts w:cstheme="minorHAnsi"/>
          <w:bCs/>
          <w:lang w:val="en-US"/>
        </w:rPr>
        <w:t>.</w:t>
      </w:r>
    </w:p>
    <w:p w:rsidR="009B4764" w:rsidRDefault="009B4764" w:rsidP="001F607E">
      <w:pPr>
        <w:spacing w:after="0"/>
        <w:rPr>
          <w:rFonts w:cstheme="minorHAnsi"/>
          <w:bCs/>
          <w:lang w:val="en-US"/>
        </w:rPr>
      </w:pPr>
    </w:p>
    <w:p w:rsidR="001F607E" w:rsidRPr="00877E7A" w:rsidRDefault="001F607E" w:rsidP="001F607E">
      <w:pPr>
        <w:spacing w:after="0"/>
        <w:rPr>
          <w:rFonts w:cstheme="minorHAnsi"/>
          <w:bCs/>
          <w:lang w:val="en-US"/>
        </w:rPr>
      </w:pPr>
      <w:r w:rsidRPr="00877E7A">
        <w:rPr>
          <w:rFonts w:cstheme="minorHAnsi"/>
          <w:bCs/>
          <w:lang w:val="en-US"/>
        </w:rPr>
        <w:t xml:space="preserve">A key factor that would impact good governance in CPSEs would be the role played by the Independent Directors on the board of such enterprises. </w:t>
      </w:r>
    </w:p>
    <w:p w:rsidR="001F607E" w:rsidRPr="00877E7A" w:rsidRDefault="001F607E" w:rsidP="001F607E">
      <w:pPr>
        <w:spacing w:after="0"/>
        <w:rPr>
          <w:rFonts w:cstheme="minorHAnsi"/>
          <w:bCs/>
          <w:lang w:val="en-US"/>
        </w:rPr>
      </w:pPr>
    </w:p>
    <w:p w:rsidR="001F607E" w:rsidRPr="00877E7A" w:rsidRDefault="001F607E" w:rsidP="001F607E">
      <w:pPr>
        <w:spacing w:after="0"/>
        <w:rPr>
          <w:rFonts w:cstheme="minorHAnsi"/>
          <w:bCs/>
          <w:lang w:val="en-US"/>
        </w:rPr>
      </w:pPr>
      <w:r w:rsidRPr="00877E7A">
        <w:rPr>
          <w:rFonts w:cstheme="minorHAnsi"/>
          <w:bCs/>
          <w:lang w:val="en-US"/>
        </w:rPr>
        <w:t>The Corporate Governance Guidelines mandated by the DPE prescribe</w:t>
      </w:r>
      <w:r w:rsidRPr="00877E7A">
        <w:rPr>
          <w:rStyle w:val="FootnoteReference"/>
          <w:rFonts w:cstheme="minorHAnsi"/>
          <w:bCs/>
          <w:lang w:val="en-US"/>
        </w:rPr>
        <w:footnoteReference w:id="54"/>
      </w:r>
      <w:r w:rsidRPr="00877E7A">
        <w:rPr>
          <w:rFonts w:cstheme="minorHAnsi"/>
          <w:bCs/>
          <w:lang w:val="en-US"/>
        </w:rPr>
        <w:t xml:space="preserve">  that in case of a CPSEs listed on the Stock Exchanges and whose Board of Directors is headed by an Executive Chairman, the number of Independent Directors shall be at least 50% of Board Members and in case of all other CPSEs (i.e. listed on Stock Exchange but without an Executive Chairman, or not listed CPSEs), at least one-third of the Board Members should be Independent Directors.</w:t>
      </w:r>
    </w:p>
    <w:p w:rsidR="001F607E" w:rsidRPr="00877E7A" w:rsidRDefault="001F607E" w:rsidP="001F607E">
      <w:pPr>
        <w:spacing w:after="0"/>
        <w:rPr>
          <w:rFonts w:cstheme="minorHAnsi"/>
          <w:bCs/>
          <w:i/>
          <w:lang w:val="en-US"/>
        </w:rPr>
      </w:pPr>
    </w:p>
    <w:p w:rsidR="001F607E" w:rsidRPr="00877E7A" w:rsidRDefault="001F607E" w:rsidP="001F607E">
      <w:pPr>
        <w:spacing w:after="0"/>
        <w:rPr>
          <w:rFonts w:cstheme="minorHAnsi"/>
          <w:bCs/>
        </w:rPr>
      </w:pPr>
      <w:r w:rsidRPr="00877E7A">
        <w:rPr>
          <w:rFonts w:cstheme="minorHAnsi"/>
          <w:bCs/>
        </w:rPr>
        <w:t>The DPE has laid down the following criteria for consideration of appointment as n Independent Director</w:t>
      </w:r>
      <w:r w:rsidRPr="00877E7A">
        <w:rPr>
          <w:rStyle w:val="FootnoteReference"/>
          <w:rFonts w:cstheme="minorHAnsi"/>
          <w:bCs/>
        </w:rPr>
        <w:footnoteReference w:id="55"/>
      </w:r>
    </w:p>
    <w:p w:rsidR="001F607E" w:rsidRPr="00877E7A" w:rsidRDefault="001F607E" w:rsidP="001F607E">
      <w:pPr>
        <w:pStyle w:val="ListParagraph"/>
        <w:numPr>
          <w:ilvl w:val="0"/>
          <w:numId w:val="27"/>
        </w:numPr>
        <w:spacing w:after="0"/>
        <w:rPr>
          <w:rFonts w:cstheme="minorHAnsi"/>
          <w:bCs/>
        </w:rPr>
      </w:pPr>
      <w:r w:rsidRPr="00877E7A">
        <w:rPr>
          <w:rFonts w:cstheme="minorHAnsi"/>
          <w:bCs/>
        </w:rPr>
        <w:t xml:space="preserve">Criteria of Experience </w:t>
      </w:r>
    </w:p>
    <w:p w:rsidR="001F607E" w:rsidRPr="00877E7A" w:rsidRDefault="001F607E" w:rsidP="001F607E">
      <w:pPr>
        <w:pStyle w:val="ListParagraph"/>
        <w:numPr>
          <w:ilvl w:val="1"/>
          <w:numId w:val="18"/>
        </w:numPr>
        <w:spacing w:after="0"/>
        <w:rPr>
          <w:rFonts w:cstheme="minorHAnsi"/>
          <w:bCs/>
        </w:rPr>
      </w:pPr>
      <w:r w:rsidRPr="00877E7A">
        <w:rPr>
          <w:rFonts w:cstheme="minorHAnsi"/>
          <w:bCs/>
        </w:rPr>
        <w:t xml:space="preserve">Retired Government officials with a minimum of 10 years experience at Joint Secretary level or above. </w:t>
      </w:r>
    </w:p>
    <w:p w:rsidR="001F607E" w:rsidRPr="00877E7A" w:rsidRDefault="001F607E" w:rsidP="001F607E">
      <w:pPr>
        <w:pStyle w:val="ListParagraph"/>
        <w:numPr>
          <w:ilvl w:val="1"/>
          <w:numId w:val="18"/>
        </w:numPr>
        <w:spacing w:after="0"/>
        <w:rPr>
          <w:rFonts w:cstheme="minorHAnsi"/>
          <w:bCs/>
        </w:rPr>
      </w:pPr>
      <w:r w:rsidRPr="00877E7A">
        <w:rPr>
          <w:rFonts w:cstheme="minorHAnsi"/>
          <w:bCs/>
        </w:rPr>
        <w:t xml:space="preserve">Persons who have retired as CMD/CEOs of CPSEs and Functional Directors of the Schedule 'A' CPSEs. The ex-Chief Executives and ex-Functional Directors of the CPSEs will not be considered for appointment as non-official Director on the Board of the CPSE from which they retire. Serving Chief Executives/Directors of CPSEs will not be eligible to be considered for appointment as non-official Directors on the Boards of any CPSEs. </w:t>
      </w:r>
    </w:p>
    <w:p w:rsidR="001F607E" w:rsidRPr="00877E7A" w:rsidRDefault="001F607E" w:rsidP="001F607E">
      <w:pPr>
        <w:pStyle w:val="ListParagraph"/>
        <w:numPr>
          <w:ilvl w:val="1"/>
          <w:numId w:val="18"/>
        </w:numPr>
        <w:spacing w:after="0"/>
        <w:rPr>
          <w:rFonts w:cstheme="minorHAnsi"/>
          <w:bCs/>
        </w:rPr>
      </w:pPr>
      <w:r w:rsidRPr="00877E7A">
        <w:rPr>
          <w:rFonts w:cstheme="minorHAnsi"/>
          <w:bCs/>
        </w:rPr>
        <w:lastRenderedPageBreak/>
        <w:t xml:space="preserve">Academicians/Directors of Institutes/Heads of Department and Professors having more than 10 years teaching or research experience in the relevant domain e.g. management, finance, marketing, technology, human resources, or law. </w:t>
      </w:r>
    </w:p>
    <w:p w:rsidR="001F607E" w:rsidRPr="00877E7A" w:rsidRDefault="001F607E" w:rsidP="001F607E">
      <w:pPr>
        <w:pStyle w:val="ListParagraph"/>
        <w:numPr>
          <w:ilvl w:val="1"/>
          <w:numId w:val="18"/>
        </w:numPr>
        <w:spacing w:after="0"/>
        <w:rPr>
          <w:rFonts w:cstheme="minorHAnsi"/>
          <w:bCs/>
        </w:rPr>
      </w:pPr>
      <w:r w:rsidRPr="00877E7A">
        <w:rPr>
          <w:rFonts w:cstheme="minorHAnsi"/>
          <w:bCs/>
        </w:rPr>
        <w:t xml:space="preserve">Professionals of repute having more than 15 years of relevant domain experience in fields relevant to the company's area of operation. </w:t>
      </w:r>
    </w:p>
    <w:p w:rsidR="001F607E" w:rsidRPr="00877E7A" w:rsidRDefault="001F607E" w:rsidP="001F607E">
      <w:pPr>
        <w:pStyle w:val="ListParagraph"/>
        <w:numPr>
          <w:ilvl w:val="1"/>
          <w:numId w:val="18"/>
        </w:numPr>
        <w:spacing w:after="0"/>
        <w:rPr>
          <w:rFonts w:cstheme="minorHAnsi"/>
          <w:bCs/>
        </w:rPr>
      </w:pPr>
      <w:r w:rsidRPr="00877E7A">
        <w:rPr>
          <w:rFonts w:cstheme="minorHAnsi"/>
          <w:bCs/>
        </w:rPr>
        <w:t xml:space="preserve">Former CEOs of private companies if the company is (a) listed on the Stock Exchanges or (b) unlisted but profit making and having an annual turnover of at least Rs.250 crore. </w:t>
      </w:r>
    </w:p>
    <w:p w:rsidR="001F607E" w:rsidRPr="00877E7A" w:rsidRDefault="001F607E" w:rsidP="001F607E">
      <w:pPr>
        <w:pStyle w:val="ListParagraph"/>
        <w:numPr>
          <w:ilvl w:val="1"/>
          <w:numId w:val="18"/>
        </w:numPr>
        <w:spacing w:after="0"/>
        <w:rPr>
          <w:rFonts w:cstheme="minorHAnsi"/>
          <w:bCs/>
        </w:rPr>
      </w:pPr>
      <w:r w:rsidRPr="00877E7A">
        <w:rPr>
          <w:rFonts w:cstheme="minorHAnsi"/>
          <w:bCs/>
        </w:rPr>
        <w:t>Persons of eminence with proven track record from Industry, Business or Agriculture or Management.</w:t>
      </w:r>
    </w:p>
    <w:p w:rsidR="001F607E" w:rsidRPr="00877E7A" w:rsidRDefault="001F607E" w:rsidP="001F607E">
      <w:pPr>
        <w:pStyle w:val="ListParagraph"/>
        <w:numPr>
          <w:ilvl w:val="0"/>
          <w:numId w:val="25"/>
        </w:numPr>
        <w:spacing w:after="0"/>
        <w:rPr>
          <w:rFonts w:cstheme="minorHAnsi"/>
          <w:bCs/>
        </w:rPr>
      </w:pPr>
      <w:r w:rsidRPr="00877E7A">
        <w:rPr>
          <w:rFonts w:cstheme="minorHAnsi"/>
          <w:bCs/>
        </w:rPr>
        <w:t>Criteria of Educational Qualification</w:t>
      </w:r>
      <w:r w:rsidRPr="00877E7A">
        <w:rPr>
          <w:rFonts w:cstheme="minorHAnsi"/>
          <w:bCs/>
        </w:rPr>
        <w:br/>
        <w:t xml:space="preserve">Minimum graduate degree from a recognized university. </w:t>
      </w:r>
    </w:p>
    <w:p w:rsidR="001F607E" w:rsidRPr="00877E7A" w:rsidRDefault="001F607E" w:rsidP="001F607E">
      <w:pPr>
        <w:pStyle w:val="ListParagraph"/>
        <w:numPr>
          <w:ilvl w:val="0"/>
          <w:numId w:val="25"/>
        </w:numPr>
        <w:spacing w:after="0"/>
        <w:rPr>
          <w:rFonts w:cstheme="minorHAnsi"/>
          <w:bCs/>
        </w:rPr>
      </w:pPr>
      <w:r w:rsidRPr="00877E7A">
        <w:rPr>
          <w:rFonts w:cstheme="minorHAnsi"/>
          <w:bCs/>
        </w:rPr>
        <w:t>Criteria of Age</w:t>
      </w:r>
      <w:r w:rsidRPr="00877E7A">
        <w:rPr>
          <w:rFonts w:cstheme="minorHAnsi"/>
          <w:bCs/>
        </w:rPr>
        <w:br/>
        <w:t xml:space="preserve">The age band should be between 45-65 years (minimum/maximum limit). This could, however, be relaxed for eminent professionals, for reasons to be recorded, being limited to 70 years. </w:t>
      </w:r>
    </w:p>
    <w:p w:rsidR="001F607E" w:rsidRPr="00877E7A" w:rsidRDefault="001F607E" w:rsidP="001F607E">
      <w:pPr>
        <w:spacing w:after="0"/>
        <w:rPr>
          <w:rFonts w:cstheme="minorHAnsi"/>
          <w:b/>
          <w:bCs/>
          <w:i/>
          <w:u w:val="single"/>
        </w:rPr>
      </w:pPr>
    </w:p>
    <w:p w:rsidR="001F607E" w:rsidRPr="00877E7A" w:rsidRDefault="001F607E" w:rsidP="001F607E">
      <w:pPr>
        <w:spacing w:after="0"/>
        <w:rPr>
          <w:rFonts w:cstheme="minorHAnsi"/>
          <w:bCs/>
        </w:rPr>
      </w:pPr>
      <w:r w:rsidRPr="00877E7A">
        <w:rPr>
          <w:rFonts w:cstheme="minorHAnsi"/>
          <w:bCs/>
        </w:rPr>
        <w:t>The proposals for appointment of non-official Directors on the Boards of CPSEs are initiated by the concerned Administrative Ministries/Departments and the selection of non-official Directors is made by the Search Committee</w:t>
      </w:r>
      <w:r w:rsidRPr="00877E7A">
        <w:rPr>
          <w:rStyle w:val="FootnoteReference"/>
          <w:rFonts w:cstheme="minorHAnsi"/>
          <w:bCs/>
        </w:rPr>
        <w:footnoteReference w:id="56"/>
      </w:r>
      <w:r w:rsidRPr="00877E7A">
        <w:rPr>
          <w:rFonts w:cstheme="minorHAnsi"/>
          <w:bCs/>
        </w:rPr>
        <w:t xml:space="preserve">. </w:t>
      </w:r>
    </w:p>
    <w:p w:rsidR="001F607E" w:rsidRPr="00877E7A" w:rsidRDefault="001F607E" w:rsidP="001F607E">
      <w:pPr>
        <w:spacing w:after="0"/>
        <w:rPr>
          <w:rFonts w:cstheme="minorHAnsi"/>
          <w:bCs/>
        </w:rPr>
      </w:pPr>
    </w:p>
    <w:p w:rsidR="001F607E" w:rsidRPr="00877E7A" w:rsidRDefault="001F607E" w:rsidP="001F607E">
      <w:pPr>
        <w:spacing w:after="0"/>
        <w:rPr>
          <w:rFonts w:cstheme="minorHAnsi"/>
          <w:bCs/>
          <w:lang w:val="en-US"/>
        </w:rPr>
      </w:pPr>
      <w:r w:rsidRPr="00877E7A">
        <w:rPr>
          <w:rFonts w:cstheme="minorHAnsi"/>
          <w:bCs/>
        </w:rPr>
        <w:t xml:space="preserve">The concerned Administrative Ministry/Department appoints the non-official Directors on the basis of recommendations of Search Committee after obtaining the approval of competent authority and clearance by the Chief Vigilance Commissioner after which it is put up to the </w:t>
      </w:r>
      <w:r w:rsidRPr="00877E7A">
        <w:rPr>
          <w:rFonts w:cstheme="minorHAnsi"/>
          <w:bCs/>
          <w:lang w:val="en-US"/>
        </w:rPr>
        <w:t>Cabinet’s Appointment Committee for final approval.</w:t>
      </w:r>
    </w:p>
    <w:p w:rsidR="001F607E" w:rsidRPr="00877E7A" w:rsidRDefault="001F607E" w:rsidP="001F607E">
      <w:pPr>
        <w:spacing w:after="0"/>
        <w:rPr>
          <w:rFonts w:cstheme="minorHAnsi"/>
          <w:bCs/>
          <w:lang w:val="en-US"/>
        </w:rPr>
      </w:pPr>
    </w:p>
    <w:p w:rsidR="001F607E" w:rsidRPr="00877E7A" w:rsidRDefault="001F607E" w:rsidP="001F607E">
      <w:pPr>
        <w:spacing w:after="0"/>
        <w:rPr>
          <w:rFonts w:cstheme="minorHAnsi"/>
          <w:bCs/>
        </w:rPr>
      </w:pPr>
      <w:r w:rsidRPr="00877E7A">
        <w:rPr>
          <w:rFonts w:cstheme="minorHAnsi"/>
          <w:bCs/>
          <w:lang w:val="en-US"/>
        </w:rPr>
        <w:t>The process for the appointment of Independent Directors has come in for a lot of criticism because of the time lag and delay in the appointment of the Board members</w:t>
      </w:r>
      <w:r w:rsidRPr="00877E7A">
        <w:rPr>
          <w:rStyle w:val="FootnoteReference"/>
          <w:rFonts w:cstheme="minorHAnsi"/>
          <w:bCs/>
          <w:lang w:val="en-US"/>
        </w:rPr>
        <w:footnoteReference w:id="57"/>
      </w:r>
      <w:r w:rsidRPr="00877E7A">
        <w:rPr>
          <w:rFonts w:cstheme="minorHAnsi"/>
          <w:bCs/>
          <w:lang w:val="en-US"/>
        </w:rPr>
        <w:t>. This is despite the fact that the selection process starts the process for selecting the Independent Director one year before the vacancy arises.</w:t>
      </w:r>
      <w:r w:rsidRPr="00877E7A">
        <w:rPr>
          <w:rFonts w:cstheme="minorHAnsi"/>
          <w:color w:val="000000"/>
        </w:rPr>
        <w:t xml:space="preserve">  Pointing to the dysfunctional consequences of such delays in appointment</w:t>
      </w:r>
      <w:r w:rsidRPr="00877E7A">
        <w:rPr>
          <w:rFonts w:cstheme="minorHAnsi"/>
          <w:bCs/>
        </w:rPr>
        <w:t xml:space="preserve"> Shri U.D. Choubey, Director General of Standing Committee of Public Enterprises (SCOPE) said</w:t>
      </w:r>
      <w:r w:rsidRPr="00877E7A">
        <w:rPr>
          <w:rStyle w:val="FootnoteReference"/>
          <w:rFonts w:cstheme="minorHAnsi"/>
          <w:bCs/>
        </w:rPr>
        <w:footnoteReference w:id="58"/>
      </w:r>
      <w:r w:rsidRPr="00877E7A">
        <w:rPr>
          <w:rFonts w:cstheme="minorHAnsi"/>
          <w:bCs/>
        </w:rPr>
        <w:t>,</w:t>
      </w:r>
      <w:r w:rsidRPr="00877E7A">
        <w:rPr>
          <w:rFonts w:cstheme="minorHAnsi"/>
          <w:color w:val="000000"/>
        </w:rPr>
        <w:t xml:space="preserve"> “</w:t>
      </w:r>
      <w:r w:rsidRPr="00877E7A">
        <w:rPr>
          <w:rFonts w:cstheme="minorHAnsi"/>
          <w:bCs/>
        </w:rPr>
        <w:t>This (the delay in appointment) is coming as a serious obstacle in way of optimal performance of public sector units,” and went to identify that the main reasons behind such a state as being the long-drawn existing procedures and the unwanted delay in awarding vigilance clearances.</w:t>
      </w:r>
    </w:p>
    <w:p w:rsidR="001F607E" w:rsidRPr="00877E7A" w:rsidRDefault="001F607E" w:rsidP="001F607E">
      <w:pPr>
        <w:spacing w:after="0"/>
        <w:rPr>
          <w:rFonts w:cstheme="minorHAnsi"/>
          <w:bCs/>
        </w:rPr>
      </w:pPr>
    </w:p>
    <w:p w:rsidR="001F607E" w:rsidRPr="00877E7A" w:rsidRDefault="001F607E" w:rsidP="001F607E">
      <w:pPr>
        <w:autoSpaceDE w:val="0"/>
        <w:autoSpaceDN w:val="0"/>
        <w:adjustRightInd w:val="0"/>
        <w:spacing w:after="0"/>
        <w:rPr>
          <w:rFonts w:eastAsiaTheme="minorHAnsi" w:cstheme="minorHAnsi"/>
          <w:i/>
          <w:iCs/>
          <w:lang w:val="en-US" w:eastAsia="en-US"/>
        </w:rPr>
      </w:pPr>
      <w:r w:rsidRPr="00877E7A">
        <w:rPr>
          <w:rFonts w:eastAsiaTheme="minorHAnsi" w:cstheme="minorHAnsi"/>
          <w:lang w:val="en-US" w:eastAsia="en-US"/>
        </w:rPr>
        <w:lastRenderedPageBreak/>
        <w:t>Leaving aside the issue of inordinate delay in the appointment of  independent directors on the Boards of CPSEs, some have argued</w:t>
      </w:r>
      <w:r w:rsidRPr="00877E7A">
        <w:rPr>
          <w:rStyle w:val="FootnoteReference"/>
          <w:rFonts w:eastAsiaTheme="minorHAnsi" w:cstheme="minorHAnsi"/>
          <w:iCs/>
          <w:lang w:val="en-US" w:eastAsia="en-US"/>
        </w:rPr>
        <w:footnoteReference w:id="59"/>
      </w:r>
      <w:r w:rsidRPr="00877E7A">
        <w:rPr>
          <w:rFonts w:eastAsiaTheme="minorHAnsi" w:cstheme="minorHAnsi"/>
          <w:lang w:val="en-US" w:eastAsia="en-US"/>
        </w:rPr>
        <w:t xml:space="preserve"> that while d</w:t>
      </w:r>
      <w:r w:rsidRPr="00877E7A">
        <w:rPr>
          <w:rFonts w:eastAsiaTheme="minorHAnsi" w:cstheme="minorHAnsi"/>
          <w:iCs/>
          <w:lang w:val="en-US" w:eastAsia="en-US"/>
        </w:rPr>
        <w:t>ue to the diffused shareholding structures in the U.S. and the U.K., independent directors were ushered into corporate governance norms in those countries in order to operate as an effective monitoring mechanism over managers in the interest of shareholders, a transplantation of the concept to a country such as India without placing emphasis on local corporate structures and associated factors is likely to produce unintended results and outcomes that are less than desirable.</w:t>
      </w:r>
      <w:r w:rsidRPr="00877E7A">
        <w:rPr>
          <w:rFonts w:eastAsiaTheme="minorHAnsi" w:cstheme="minorHAnsi"/>
          <w:i/>
          <w:iCs/>
          <w:lang w:val="en-US" w:eastAsia="en-US"/>
        </w:rPr>
        <w:t xml:space="preserve"> </w:t>
      </w:r>
    </w:p>
    <w:p w:rsidR="001F607E" w:rsidRPr="00877E7A" w:rsidRDefault="001F607E" w:rsidP="001F607E">
      <w:pPr>
        <w:autoSpaceDE w:val="0"/>
        <w:autoSpaceDN w:val="0"/>
        <w:adjustRightInd w:val="0"/>
        <w:spacing w:after="0"/>
        <w:rPr>
          <w:rFonts w:cstheme="minorHAnsi"/>
        </w:rPr>
      </w:pPr>
    </w:p>
    <w:p w:rsidR="001F607E" w:rsidRPr="00877E7A" w:rsidRDefault="001F607E" w:rsidP="001F607E">
      <w:pPr>
        <w:spacing w:after="0"/>
        <w:rPr>
          <w:rFonts w:cstheme="minorHAnsi"/>
          <w:bCs/>
          <w:lang w:val="en-US"/>
        </w:rPr>
      </w:pPr>
      <w:r w:rsidRPr="00877E7A">
        <w:rPr>
          <w:rFonts w:cstheme="minorHAnsi"/>
          <w:bCs/>
        </w:rPr>
        <w:t>However, a more critical issue that arises with respect to the role played by the independent directors is to understand whose interest the Independent Directors (on boards of CPSEs) represent as only they can protect the interests of the minority shareholders by taking decisions which are taken in the interest of the organization. Under the current process of appointing Independent Directors in CPSEs, the administrative ministries overseeing the CPSE, indirectly but effectively, control the appointment of independent directors in enterprises that are associated with them. Given that t</w:t>
      </w:r>
      <w:r w:rsidRPr="00877E7A">
        <w:rPr>
          <w:rFonts w:cstheme="minorHAnsi"/>
          <w:bCs/>
          <w:lang w:val="en-US"/>
        </w:rPr>
        <w:t xml:space="preserve">he dominant shareholder in most of the CPSEs is the Central Government, who  has declared </w:t>
      </w:r>
      <w:r w:rsidR="0035626A">
        <w:rPr>
          <w:rFonts w:cstheme="minorHAnsi"/>
          <w:bCs/>
          <w:lang w:val="en-US"/>
        </w:rPr>
        <w:t>its</w:t>
      </w:r>
      <w:r w:rsidRPr="00877E7A">
        <w:rPr>
          <w:rFonts w:cstheme="minorHAnsi"/>
          <w:bCs/>
          <w:lang w:val="en-US"/>
        </w:rPr>
        <w:t xml:space="preserve"> intent to maintain its stake at above 51% in the enterprise, the responsibility of the government nominated independent directors effectively would translate to the independent directors remaining loyal to the appointing ministry and supporting them in the board meetings.</w:t>
      </w:r>
    </w:p>
    <w:p w:rsidR="001F607E" w:rsidRPr="00877E7A" w:rsidRDefault="001F607E" w:rsidP="001F607E">
      <w:pPr>
        <w:spacing w:after="0"/>
        <w:rPr>
          <w:rFonts w:cstheme="minorHAnsi"/>
          <w:bCs/>
        </w:rPr>
      </w:pPr>
    </w:p>
    <w:p w:rsidR="001F607E" w:rsidRPr="00877E7A" w:rsidRDefault="001F607E" w:rsidP="001F607E">
      <w:pPr>
        <w:spacing w:after="0"/>
        <w:rPr>
          <w:rFonts w:cstheme="minorHAnsi"/>
          <w:bCs/>
          <w:lang w:val="en-US"/>
        </w:rPr>
      </w:pPr>
      <w:r w:rsidRPr="00877E7A">
        <w:rPr>
          <w:rFonts w:cstheme="minorHAnsi"/>
          <w:bCs/>
          <w:lang w:val="en-US"/>
        </w:rPr>
        <w:t>It can be argued that an independent directors in a CPSE ought to shoulder an obligation that extends beyond their accountability only  to the dominant shareholder, as the Government is not the actual ‘shareholder’ of the enterprise. As Shri Pranab Mukherjee, Finance Minister of India has rightly pointed out</w:t>
      </w:r>
      <w:r w:rsidRPr="00877E7A">
        <w:rPr>
          <w:rStyle w:val="FootnoteReference"/>
          <w:rFonts w:cstheme="minorHAnsi"/>
          <w:bCs/>
          <w:lang w:val="en-US"/>
        </w:rPr>
        <w:footnoteReference w:id="60"/>
      </w:r>
      <w:r w:rsidRPr="00877E7A">
        <w:rPr>
          <w:rFonts w:cstheme="minorHAnsi"/>
          <w:bCs/>
          <w:lang w:val="en-US"/>
        </w:rPr>
        <w:t xml:space="preserve">; the CPSEs in India are symbols of ‘public wealth’ and, therefore, an independent director should be mindful of public and societal concerns. </w:t>
      </w:r>
    </w:p>
    <w:p w:rsidR="001F607E" w:rsidRPr="00877E7A" w:rsidRDefault="001F607E" w:rsidP="001F607E">
      <w:pPr>
        <w:spacing w:after="0"/>
        <w:rPr>
          <w:rFonts w:cstheme="minorHAnsi"/>
          <w:bCs/>
          <w:lang w:val="en-US"/>
        </w:rPr>
      </w:pPr>
    </w:p>
    <w:p w:rsidR="001F607E" w:rsidRPr="00877E7A" w:rsidRDefault="001F607E" w:rsidP="001F607E">
      <w:pPr>
        <w:spacing w:after="0"/>
        <w:rPr>
          <w:rFonts w:cstheme="minorHAnsi"/>
          <w:color w:val="000000"/>
          <w:shd w:val="clear" w:color="auto" w:fill="FFFFFF"/>
        </w:rPr>
      </w:pPr>
      <w:r w:rsidRPr="00877E7A">
        <w:rPr>
          <w:rFonts w:cstheme="minorHAnsi"/>
          <w:bCs/>
          <w:lang w:val="en-US"/>
        </w:rPr>
        <w:t>This debate becomes quite pertinent in the context of a</w:t>
      </w:r>
      <w:r w:rsidR="0035626A">
        <w:rPr>
          <w:rFonts w:cstheme="minorHAnsi"/>
          <w:bCs/>
          <w:lang w:val="en-US"/>
        </w:rPr>
        <w:t>n analysis</w:t>
      </w:r>
      <w:r w:rsidRPr="00877E7A">
        <w:rPr>
          <w:rFonts w:cstheme="minorHAnsi"/>
          <w:bCs/>
          <w:lang w:val="en-US"/>
        </w:rPr>
        <w:t xml:space="preserve"> on how the </w:t>
      </w:r>
      <w:r w:rsidRPr="00877E7A">
        <w:rPr>
          <w:rFonts w:cstheme="minorHAnsi"/>
          <w:bCs/>
        </w:rPr>
        <w:t xml:space="preserve">realization from sale of minority shareholding of the Government in profitable CPSEs </w:t>
      </w:r>
      <w:r w:rsidR="00FA0EC1">
        <w:rPr>
          <w:rFonts w:cstheme="minorHAnsi"/>
          <w:bCs/>
        </w:rPr>
        <w:t xml:space="preserve">has been </w:t>
      </w:r>
      <w:r w:rsidRPr="00877E7A">
        <w:rPr>
          <w:rFonts w:cstheme="minorHAnsi"/>
          <w:bCs/>
        </w:rPr>
        <w:t>channelized</w:t>
      </w:r>
      <w:r w:rsidR="00FA0EC1">
        <w:rPr>
          <w:rFonts w:cstheme="minorHAnsi"/>
          <w:bCs/>
        </w:rPr>
        <w:t xml:space="preserve"> and whether it has been used in the best interest of the people of India</w:t>
      </w:r>
      <w:r w:rsidRPr="00877E7A">
        <w:rPr>
          <w:rFonts w:cstheme="minorHAnsi"/>
          <w:bCs/>
        </w:rPr>
        <w:t xml:space="preserve">. On 27 January 2005, the Government </w:t>
      </w:r>
      <w:r w:rsidR="0035626A">
        <w:rPr>
          <w:rFonts w:cstheme="minorHAnsi"/>
          <w:bCs/>
        </w:rPr>
        <w:t xml:space="preserve">of India </w:t>
      </w:r>
      <w:r w:rsidRPr="00877E7A">
        <w:rPr>
          <w:rFonts w:cstheme="minorHAnsi"/>
          <w:bCs/>
        </w:rPr>
        <w:t>had decided</w:t>
      </w:r>
      <w:r w:rsidRPr="00877E7A">
        <w:rPr>
          <w:rStyle w:val="FootnoteReference"/>
          <w:rFonts w:cstheme="minorHAnsi"/>
          <w:bCs/>
        </w:rPr>
        <w:footnoteReference w:id="61"/>
      </w:r>
      <w:r w:rsidRPr="00877E7A">
        <w:rPr>
          <w:rFonts w:cstheme="minorHAnsi"/>
          <w:bCs/>
        </w:rPr>
        <w:t xml:space="preserve"> to constitute a 'National Investment Fund' (NIF) into which the realization from such disinvestment </w:t>
      </w:r>
      <w:r w:rsidRPr="00877E7A">
        <w:rPr>
          <w:rFonts w:cstheme="minorHAnsi"/>
          <w:color w:val="000000"/>
          <w:shd w:val="clear" w:color="auto" w:fill="FFFFFF"/>
        </w:rPr>
        <w:t>sale was to be channelized and which was meant to be maintained outside the Consolidated Fund of India; furthermore the corpus of the NIF was expected to be of a permanent nature.</w:t>
      </w:r>
      <w:r w:rsidRPr="00877E7A">
        <w:rPr>
          <w:rFonts w:cstheme="minorHAnsi"/>
        </w:rPr>
        <w:t xml:space="preserve"> </w:t>
      </w:r>
      <w:r w:rsidRPr="00877E7A">
        <w:rPr>
          <w:rFonts w:cstheme="minorHAnsi"/>
          <w:color w:val="000000"/>
          <w:shd w:val="clear" w:color="auto" w:fill="FFFFFF"/>
        </w:rPr>
        <w:t xml:space="preserve">It was also envisaged that the NIF would be professionally managed to provide sustainable returns to the Government, without depleting the corpus and selected Public Sector Mutual Funds would be entrusted with the management of the corpus of the Fund. 75% of the annual income of the Fund </w:t>
      </w:r>
      <w:r w:rsidRPr="00877E7A">
        <w:rPr>
          <w:rFonts w:cstheme="minorHAnsi"/>
          <w:color w:val="000000"/>
          <w:shd w:val="clear" w:color="auto" w:fill="FFFFFF"/>
        </w:rPr>
        <w:lastRenderedPageBreak/>
        <w:t>was meant to be used to finance selected social sector schemes, which promoted education, health and employment while the residual 25% of the annual income of the Fund was meant to be used to meet the capital investment requirements of profitable and revivable CPSEs that yield adequate returns, in order to enlarge their capital base to finance expansion/ diversification</w:t>
      </w:r>
    </w:p>
    <w:p w:rsidR="001F607E" w:rsidRPr="00877E7A" w:rsidRDefault="001F607E" w:rsidP="001F607E">
      <w:pPr>
        <w:spacing w:after="0"/>
        <w:rPr>
          <w:rFonts w:cstheme="minorHAnsi"/>
          <w:color w:val="000000"/>
          <w:shd w:val="clear" w:color="auto" w:fill="FFFFFF"/>
        </w:rPr>
      </w:pPr>
    </w:p>
    <w:p w:rsidR="001F607E" w:rsidRPr="00877E7A" w:rsidRDefault="001F607E" w:rsidP="001F607E">
      <w:pPr>
        <w:spacing w:after="0"/>
        <w:rPr>
          <w:rFonts w:cstheme="minorHAnsi"/>
          <w:color w:val="000000"/>
          <w:lang w:val="en-US"/>
        </w:rPr>
      </w:pPr>
      <w:r w:rsidRPr="00877E7A">
        <w:rPr>
          <w:rFonts w:cstheme="minorHAnsi"/>
          <w:color w:val="000000"/>
          <w:lang w:val="en-US"/>
        </w:rPr>
        <w:t>However, in view of the difficult economic situation caused by the global slowdown of 2008-09 and a severe drought that was likely to adversely affect the 11th Plan growth performance, the Government, in November 2009, decided to give a one-time exemption</w:t>
      </w:r>
      <w:r w:rsidRPr="00877E7A">
        <w:rPr>
          <w:rStyle w:val="FootnoteReference"/>
          <w:rFonts w:cstheme="minorHAnsi"/>
          <w:color w:val="000000"/>
          <w:lang w:val="en-US"/>
        </w:rPr>
        <w:footnoteReference w:id="62"/>
      </w:r>
      <w:r w:rsidRPr="00877E7A">
        <w:rPr>
          <w:rFonts w:cstheme="minorHAnsi"/>
          <w:color w:val="000000"/>
          <w:lang w:val="en-US"/>
        </w:rPr>
        <w:t xml:space="preserve"> to utilization of proceeds from disinvestment of CPSEs for a period of three years – from April 2009 to March 2012 (subsequently extended up to March 2013) and the disinvestment proceeds during this period were to be made available, in full, for meeting the  requirements of selected social sector programs as decided by the Planning Commission/Department of Expenditure.</w:t>
      </w:r>
    </w:p>
    <w:p w:rsidR="001F607E" w:rsidRPr="00877E7A" w:rsidRDefault="001F607E" w:rsidP="001F607E">
      <w:pPr>
        <w:spacing w:after="0"/>
        <w:rPr>
          <w:rFonts w:cstheme="minorHAnsi"/>
          <w:color w:val="000000"/>
          <w:lang w:val="en-US"/>
        </w:rPr>
      </w:pPr>
    </w:p>
    <w:p w:rsidR="001F607E" w:rsidRPr="00877E7A" w:rsidRDefault="001F607E" w:rsidP="001F607E">
      <w:pPr>
        <w:spacing w:after="0"/>
        <w:rPr>
          <w:rFonts w:cstheme="minorHAnsi"/>
          <w:color w:val="000000"/>
          <w:lang w:val="en-US"/>
        </w:rPr>
      </w:pPr>
      <w:r w:rsidRPr="00877E7A">
        <w:rPr>
          <w:rFonts w:cstheme="minorHAnsi"/>
          <w:color w:val="000000"/>
          <w:lang w:val="en-US"/>
        </w:rPr>
        <w:t xml:space="preserve">The </w:t>
      </w:r>
      <w:r w:rsidR="00FA0EC1">
        <w:rPr>
          <w:rFonts w:cstheme="minorHAnsi"/>
          <w:color w:val="000000"/>
          <w:lang w:val="en-US"/>
        </w:rPr>
        <w:t xml:space="preserve">diversion </w:t>
      </w:r>
      <w:r w:rsidRPr="00877E7A">
        <w:rPr>
          <w:rFonts w:cstheme="minorHAnsi"/>
          <w:color w:val="000000"/>
          <w:lang w:val="en-US"/>
        </w:rPr>
        <w:t>of disinvestment proceeds</w:t>
      </w:r>
      <w:r w:rsidR="00FA0EC1">
        <w:rPr>
          <w:rFonts w:cstheme="minorHAnsi"/>
          <w:color w:val="000000"/>
          <w:lang w:val="en-US"/>
        </w:rPr>
        <w:t xml:space="preserve"> from their earlier stated objectives and</w:t>
      </w:r>
      <w:r w:rsidRPr="00877E7A">
        <w:rPr>
          <w:rFonts w:cstheme="minorHAnsi"/>
          <w:color w:val="000000"/>
          <w:lang w:val="en-US"/>
        </w:rPr>
        <w:t xml:space="preserve"> t</w:t>
      </w:r>
      <w:r w:rsidR="00FA0EC1">
        <w:rPr>
          <w:rFonts w:cstheme="minorHAnsi"/>
          <w:color w:val="000000"/>
          <w:lang w:val="en-US"/>
        </w:rPr>
        <w:t>heir use to</w:t>
      </w:r>
      <w:r w:rsidRPr="00877E7A">
        <w:rPr>
          <w:rFonts w:cstheme="minorHAnsi"/>
          <w:color w:val="000000"/>
          <w:lang w:val="en-US"/>
        </w:rPr>
        <w:t xml:space="preserve"> fund the current account deficit of the Union </w:t>
      </w:r>
      <w:r w:rsidR="00FA0EC1" w:rsidRPr="00877E7A">
        <w:rPr>
          <w:rFonts w:cstheme="minorHAnsi"/>
          <w:color w:val="000000"/>
          <w:lang w:val="en-US"/>
        </w:rPr>
        <w:t>Government</w:t>
      </w:r>
      <w:r w:rsidR="00FA0EC1">
        <w:rPr>
          <w:rFonts w:cstheme="minorHAnsi"/>
          <w:color w:val="000000"/>
          <w:lang w:val="en-US"/>
        </w:rPr>
        <w:t xml:space="preserve"> (</w:t>
      </w:r>
      <w:r w:rsidR="00FA0EC1" w:rsidRPr="00877E7A">
        <w:rPr>
          <w:rFonts w:cstheme="minorHAnsi"/>
          <w:color w:val="000000"/>
          <w:lang w:val="en-US"/>
        </w:rPr>
        <w:t>and</w:t>
      </w:r>
      <w:r w:rsidRPr="00877E7A">
        <w:rPr>
          <w:rFonts w:cstheme="minorHAnsi"/>
          <w:color w:val="000000"/>
          <w:lang w:val="en-US"/>
        </w:rPr>
        <w:t xml:space="preserve"> meet its fiscal objectives</w:t>
      </w:r>
      <w:r w:rsidR="00FA0EC1">
        <w:rPr>
          <w:rFonts w:cstheme="minorHAnsi"/>
          <w:color w:val="000000"/>
          <w:lang w:val="en-US"/>
        </w:rPr>
        <w:t>)</w:t>
      </w:r>
      <w:r w:rsidR="00FA0EC1" w:rsidRPr="00877E7A">
        <w:rPr>
          <w:rFonts w:cstheme="minorHAnsi"/>
          <w:color w:val="000000"/>
          <w:lang w:val="en-US"/>
        </w:rPr>
        <w:t xml:space="preserve"> has</w:t>
      </w:r>
      <w:r w:rsidRPr="00877E7A">
        <w:rPr>
          <w:rFonts w:cstheme="minorHAnsi"/>
          <w:color w:val="000000"/>
          <w:lang w:val="en-US"/>
        </w:rPr>
        <w:t xml:space="preserve"> been questioned by some</w:t>
      </w:r>
      <w:r w:rsidRPr="00877E7A">
        <w:rPr>
          <w:rStyle w:val="FootnoteReference"/>
          <w:rFonts w:cstheme="minorHAnsi"/>
          <w:color w:val="000000"/>
          <w:lang w:val="en-US"/>
        </w:rPr>
        <w:footnoteReference w:id="63"/>
      </w:r>
      <w:r w:rsidRPr="00877E7A">
        <w:rPr>
          <w:rFonts w:cstheme="minorHAnsi"/>
          <w:color w:val="000000"/>
          <w:lang w:val="en-US"/>
        </w:rPr>
        <w:t xml:space="preserve"> as </w:t>
      </w:r>
      <w:r w:rsidR="00FA0EC1" w:rsidRPr="00877E7A">
        <w:rPr>
          <w:rFonts w:cstheme="minorHAnsi"/>
          <w:color w:val="000000"/>
          <w:lang w:val="en-US"/>
        </w:rPr>
        <w:t>not being</w:t>
      </w:r>
      <w:r w:rsidRPr="00877E7A">
        <w:rPr>
          <w:rFonts w:cstheme="minorHAnsi"/>
          <w:color w:val="000000"/>
          <w:lang w:val="en-US"/>
        </w:rPr>
        <w:t xml:space="preserve"> the best use of such </w:t>
      </w:r>
      <w:r w:rsidR="00FA0EC1" w:rsidRPr="00877E7A">
        <w:rPr>
          <w:rFonts w:cstheme="minorHAnsi"/>
          <w:color w:val="000000"/>
          <w:lang w:val="en-US"/>
        </w:rPr>
        <w:t>funds and</w:t>
      </w:r>
      <w:r w:rsidRPr="00877E7A">
        <w:rPr>
          <w:rFonts w:cstheme="minorHAnsi"/>
          <w:color w:val="000000"/>
          <w:lang w:val="en-US"/>
        </w:rPr>
        <w:t xml:space="preserve"> as “frittering away the gains, if any, of disinvestment”! </w:t>
      </w:r>
    </w:p>
    <w:p w:rsidR="001F607E" w:rsidRPr="002B1310" w:rsidRDefault="001F607E" w:rsidP="001F607E">
      <w:pPr>
        <w:spacing w:after="0"/>
        <w:rPr>
          <w:rFonts w:cstheme="minorHAnsi"/>
          <w:bCs/>
        </w:rPr>
      </w:pPr>
    </w:p>
    <w:p w:rsidR="00760516" w:rsidRDefault="0035626A" w:rsidP="00920BD9">
      <w:pPr>
        <w:spacing w:after="0"/>
        <w:rPr>
          <w:lang w:val="en-US"/>
        </w:rPr>
      </w:pPr>
      <w:r>
        <w:rPr>
          <w:lang w:val="en-US"/>
        </w:rPr>
        <w:t>However, d</w:t>
      </w:r>
      <w:r w:rsidR="00920BD9" w:rsidRPr="00920BD9">
        <w:rPr>
          <w:lang w:val="en-US"/>
        </w:rPr>
        <w:t>espite the limitations and inefficiencies in the operating models</w:t>
      </w:r>
      <w:r w:rsidR="00760516">
        <w:rPr>
          <w:lang w:val="en-US"/>
        </w:rPr>
        <w:t xml:space="preserve"> of SOEs in India</w:t>
      </w:r>
      <w:r w:rsidR="006C0F5B" w:rsidRPr="00920BD9">
        <w:rPr>
          <w:lang w:val="en-US"/>
        </w:rPr>
        <w:t>, empirical</w:t>
      </w:r>
      <w:r w:rsidR="00920BD9" w:rsidRPr="00920BD9">
        <w:rPr>
          <w:lang w:val="en-US"/>
        </w:rPr>
        <w:t xml:space="preserve"> evidence does not show that </w:t>
      </w:r>
      <w:r w:rsidR="00237FB6">
        <w:rPr>
          <w:lang w:val="en-US"/>
        </w:rPr>
        <w:t xml:space="preserve">Indian </w:t>
      </w:r>
      <w:r w:rsidR="00920BD9" w:rsidRPr="00920BD9">
        <w:rPr>
          <w:lang w:val="en-US"/>
        </w:rPr>
        <w:t xml:space="preserve">SOEs perform badly as compared to their private sector counterparts. </w:t>
      </w:r>
    </w:p>
    <w:p w:rsidR="00760516" w:rsidRDefault="00760516" w:rsidP="00920BD9">
      <w:pPr>
        <w:spacing w:after="0"/>
        <w:rPr>
          <w:lang w:val="en-US"/>
        </w:rPr>
      </w:pPr>
    </w:p>
    <w:p w:rsidR="00920BD9" w:rsidRPr="00920BD9" w:rsidRDefault="00920BD9" w:rsidP="00920BD9">
      <w:pPr>
        <w:spacing w:after="0"/>
        <w:rPr>
          <w:lang w:val="en-US"/>
        </w:rPr>
      </w:pPr>
      <w:r w:rsidRPr="00920BD9">
        <w:rPr>
          <w:lang w:val="en-US"/>
        </w:rPr>
        <w:t>An early study by K Ramaswamy</w:t>
      </w:r>
      <w:r w:rsidRPr="00920BD9">
        <w:rPr>
          <w:rStyle w:val="FootnoteReference"/>
          <w:lang w:val="en-US"/>
        </w:rPr>
        <w:footnoteReference w:id="64"/>
      </w:r>
      <w:r w:rsidRPr="00920BD9">
        <w:rPr>
          <w:lang w:val="en-US"/>
        </w:rPr>
        <w:t xml:space="preserve"> reports findings from a study comparing the performance of Indian State Owned Enterprises (SOEs) and private firms and f</w:t>
      </w:r>
      <w:r w:rsidR="00237FB6">
        <w:rPr>
          <w:lang w:val="en-US"/>
        </w:rPr>
        <w:t>ound</w:t>
      </w:r>
      <w:r w:rsidRPr="00920BD9">
        <w:rPr>
          <w:lang w:val="en-US"/>
        </w:rPr>
        <w:t xml:space="preserve"> that SOEs do not perform badly as compared to their p</w:t>
      </w:r>
      <w:r>
        <w:rPr>
          <w:lang w:val="en-US"/>
        </w:rPr>
        <w:t>eer group in the private sector</w:t>
      </w:r>
      <w:r w:rsidRPr="00920BD9">
        <w:rPr>
          <w:lang w:val="en-US"/>
        </w:rPr>
        <w:t>. While the privately held firms performed better in terms of commercial profitability, the two groups did not differ in</w:t>
      </w:r>
      <w:r w:rsidR="00237FB6">
        <w:rPr>
          <w:lang w:val="en-US"/>
        </w:rPr>
        <w:t xml:space="preserve"> respect of</w:t>
      </w:r>
      <w:r w:rsidRPr="00920BD9">
        <w:rPr>
          <w:lang w:val="en-US"/>
        </w:rPr>
        <w:t xml:space="preserve"> managerial efficiency</w:t>
      </w:r>
      <w:r w:rsidR="00760516">
        <w:rPr>
          <w:lang w:val="en-US"/>
        </w:rPr>
        <w:t xml:space="preserve"> and the</w:t>
      </w:r>
      <w:r w:rsidRPr="00920BD9">
        <w:rPr>
          <w:lang w:val="en-US"/>
        </w:rPr>
        <w:t xml:space="preserve"> SOEs were </w:t>
      </w:r>
      <w:r>
        <w:rPr>
          <w:lang w:val="en-US"/>
        </w:rPr>
        <w:t xml:space="preserve">found to be </w:t>
      </w:r>
      <w:r w:rsidRPr="00920BD9">
        <w:rPr>
          <w:lang w:val="en-US"/>
        </w:rPr>
        <w:t>markedly better in accomplishing public interest objectives.</w:t>
      </w:r>
    </w:p>
    <w:p w:rsidR="00920BD9" w:rsidRPr="00760516" w:rsidRDefault="00920BD9" w:rsidP="00920BD9">
      <w:pPr>
        <w:spacing w:after="0"/>
        <w:rPr>
          <w:lang w:val="en-US"/>
        </w:rPr>
      </w:pPr>
    </w:p>
    <w:p w:rsidR="008F5F55" w:rsidRPr="00760516" w:rsidRDefault="008F5F55" w:rsidP="00920BD9">
      <w:pPr>
        <w:spacing w:after="0"/>
      </w:pPr>
      <w:r w:rsidRPr="00760516">
        <w:rPr>
          <w:lang w:val="en-US"/>
        </w:rPr>
        <w:t>Using data on Indian government-owned firms, Nandini Gupta investigated</w:t>
      </w:r>
      <w:r w:rsidRPr="00760516">
        <w:rPr>
          <w:rStyle w:val="FootnoteReference"/>
          <w:lang w:val="en-US"/>
        </w:rPr>
        <w:footnoteReference w:id="65"/>
      </w:r>
      <w:r w:rsidRPr="00760516">
        <w:rPr>
          <w:lang w:val="en-US"/>
        </w:rPr>
        <w:t xml:space="preserve"> the effect of privatization on the performance of government owned firms and</w:t>
      </w:r>
      <w:r w:rsidR="00977E15" w:rsidRPr="00760516">
        <w:rPr>
          <w:lang w:val="en-US"/>
        </w:rPr>
        <w:t>,</w:t>
      </w:r>
      <w:r w:rsidRPr="00760516">
        <w:rPr>
          <w:lang w:val="en-US"/>
        </w:rPr>
        <w:t xml:space="preserve"> based on empirical evidence</w:t>
      </w:r>
      <w:r w:rsidR="00977E15" w:rsidRPr="00760516">
        <w:rPr>
          <w:lang w:val="en-US"/>
        </w:rPr>
        <w:t>,</w:t>
      </w:r>
      <w:r w:rsidRPr="00760516">
        <w:rPr>
          <w:lang w:val="en-US"/>
        </w:rPr>
        <w:t xml:space="preserve">  has suggested that privatization is positively associated with  profitability and efficiency of   government-owned firms. </w:t>
      </w:r>
      <w:r w:rsidR="00977E15" w:rsidRPr="00760516">
        <w:rPr>
          <w:lang w:val="en-US"/>
        </w:rPr>
        <w:t>D</w:t>
      </w:r>
      <w:r w:rsidRPr="00760516">
        <w:rPr>
          <w:lang w:val="en-US"/>
        </w:rPr>
        <w:t xml:space="preserve">espite the small number of transactions, selling majority equity stakes to private owners </w:t>
      </w:r>
      <w:r w:rsidR="00E65C61" w:rsidRPr="00760516">
        <w:rPr>
          <w:lang w:val="en-US"/>
        </w:rPr>
        <w:t>has even</w:t>
      </w:r>
      <w:r w:rsidRPr="00760516">
        <w:rPr>
          <w:lang w:val="en-US"/>
        </w:rPr>
        <w:t xml:space="preserve"> economically significant impact on firm performance. </w:t>
      </w:r>
      <w:r w:rsidR="00760516" w:rsidRPr="00760516">
        <w:rPr>
          <w:lang w:val="en-US"/>
        </w:rPr>
        <w:t>Furthermore,</w:t>
      </w:r>
      <w:r w:rsidRPr="00760516">
        <w:rPr>
          <w:lang w:val="en-US"/>
        </w:rPr>
        <w:t xml:space="preserve"> privatization is not associated with layoffs or a decline in employee compensation. </w:t>
      </w:r>
    </w:p>
    <w:p w:rsidR="008F5F55" w:rsidRDefault="008F5F55" w:rsidP="008F5F55">
      <w:pPr>
        <w:spacing w:after="0"/>
      </w:pPr>
    </w:p>
    <w:p w:rsidR="00E65C61" w:rsidRPr="007263F0" w:rsidRDefault="008F5F55" w:rsidP="00E65C61">
      <w:pPr>
        <w:autoSpaceDE w:val="0"/>
        <w:autoSpaceDN w:val="0"/>
        <w:adjustRightInd w:val="0"/>
        <w:rPr>
          <w:lang w:val="en-US"/>
        </w:rPr>
      </w:pPr>
      <w:r w:rsidRPr="0028020A">
        <w:lastRenderedPageBreak/>
        <w:t>A recent study</w:t>
      </w:r>
      <w:r w:rsidR="00FA0EC1">
        <w:t xml:space="preserve"> by Espirito Santo Securities</w:t>
      </w:r>
      <w:r>
        <w:rPr>
          <w:rStyle w:val="FootnoteReference"/>
        </w:rPr>
        <w:footnoteReference w:id="66"/>
      </w:r>
      <w:r w:rsidRPr="0028020A">
        <w:t xml:space="preserve"> </w:t>
      </w:r>
      <w:r w:rsidRPr="0028020A">
        <w:rPr>
          <w:lang w:val="en-US"/>
        </w:rPr>
        <w:t>analyzed some of the possible governance failures and abuses</w:t>
      </w:r>
      <w:r>
        <w:rPr>
          <w:lang w:val="en-US"/>
        </w:rPr>
        <w:t xml:space="preserve">, in the Indian context, </w:t>
      </w:r>
      <w:r w:rsidRPr="0028020A">
        <w:rPr>
          <w:lang w:val="en-US"/>
        </w:rPr>
        <w:t xml:space="preserve">by dominant shareholders in different </w:t>
      </w:r>
      <w:r w:rsidR="006B2079">
        <w:rPr>
          <w:lang w:val="en-US"/>
        </w:rPr>
        <w:t xml:space="preserve">ownership </w:t>
      </w:r>
      <w:r w:rsidRPr="0028020A">
        <w:rPr>
          <w:lang w:val="en-US"/>
        </w:rPr>
        <w:t>categories</w:t>
      </w:r>
      <w:r w:rsidR="00237FB6">
        <w:rPr>
          <w:lang w:val="en-US"/>
        </w:rPr>
        <w:t xml:space="preserve"> (government, MNCs, private ownership) </w:t>
      </w:r>
      <w:r w:rsidR="00237FB6" w:rsidRPr="0028020A">
        <w:rPr>
          <w:lang w:val="en-US"/>
        </w:rPr>
        <w:t>and</w:t>
      </w:r>
      <w:r w:rsidRPr="0028020A">
        <w:rPr>
          <w:lang w:val="en-US"/>
        </w:rPr>
        <w:t xml:space="preserve"> reviewed the performance </w:t>
      </w:r>
      <w:r w:rsidR="00237FB6" w:rsidRPr="0028020A">
        <w:rPr>
          <w:lang w:val="en-US"/>
        </w:rPr>
        <w:t xml:space="preserve">impact </w:t>
      </w:r>
      <w:r w:rsidR="00237FB6">
        <w:rPr>
          <w:lang w:val="en-US"/>
        </w:rPr>
        <w:t>of</w:t>
      </w:r>
      <w:r w:rsidR="00E65C61" w:rsidRPr="007263F0">
        <w:rPr>
          <w:rFonts w:eastAsiaTheme="minorHAnsi" w:cstheme="minorHAnsi"/>
          <w:bCs/>
          <w:lang w:val="en-US" w:eastAsia="en-US"/>
        </w:rPr>
        <w:t xml:space="preserve"> ownership structure on </w:t>
      </w:r>
      <w:r w:rsidR="006B2079">
        <w:rPr>
          <w:rFonts w:eastAsiaTheme="minorHAnsi" w:cstheme="minorHAnsi"/>
          <w:bCs/>
          <w:lang w:val="en-US" w:eastAsia="en-US"/>
        </w:rPr>
        <w:t>firm</w:t>
      </w:r>
      <w:r w:rsidR="00E65C61" w:rsidRPr="007263F0">
        <w:rPr>
          <w:rFonts w:eastAsiaTheme="minorHAnsi" w:cstheme="minorHAnsi"/>
          <w:bCs/>
          <w:lang w:val="en-US" w:eastAsia="en-US"/>
        </w:rPr>
        <w:t xml:space="preserve"> performance</w:t>
      </w:r>
      <w:r w:rsidR="00237FB6">
        <w:rPr>
          <w:rFonts w:eastAsiaTheme="minorHAnsi" w:cstheme="minorHAnsi"/>
          <w:bCs/>
          <w:lang w:val="en-US" w:eastAsia="en-US"/>
        </w:rPr>
        <w:t>. B</w:t>
      </w:r>
      <w:r w:rsidR="00E65C61" w:rsidRPr="007263F0">
        <w:rPr>
          <w:rFonts w:eastAsiaTheme="minorHAnsi" w:cstheme="minorHAnsi"/>
          <w:bCs/>
          <w:lang w:val="en-US" w:eastAsia="en-US"/>
        </w:rPr>
        <w:t>ased on an analysis of ownership and performance data of 463 BSE 500 companies, that have a ‘dominant’ shareholder</w:t>
      </w:r>
      <w:r w:rsidR="00C46A4F">
        <w:rPr>
          <w:rFonts w:eastAsiaTheme="minorHAnsi" w:cstheme="minorHAnsi"/>
          <w:bCs/>
          <w:lang w:val="en-US" w:eastAsia="en-US"/>
        </w:rPr>
        <w:t xml:space="preserve"> (</w:t>
      </w:r>
      <w:r w:rsidR="00E65C61" w:rsidRPr="007263F0">
        <w:rPr>
          <w:rFonts w:eastAsiaTheme="minorHAnsi" w:cstheme="minorHAnsi"/>
          <w:bCs/>
          <w:lang w:val="en-US" w:eastAsia="en-US"/>
        </w:rPr>
        <w:t>owning</w:t>
      </w:r>
      <w:r w:rsidR="00C46A4F">
        <w:rPr>
          <w:rFonts w:eastAsiaTheme="minorHAnsi" w:cstheme="minorHAnsi"/>
          <w:bCs/>
          <w:lang w:val="en-US" w:eastAsia="en-US"/>
        </w:rPr>
        <w:t xml:space="preserve"> greater than</w:t>
      </w:r>
      <w:r w:rsidR="00E65C61" w:rsidRPr="007263F0">
        <w:rPr>
          <w:rFonts w:eastAsiaTheme="minorHAnsi" w:cstheme="minorHAnsi"/>
          <w:bCs/>
          <w:lang w:val="en-US" w:eastAsia="en-US"/>
        </w:rPr>
        <w:t>26% holding</w:t>
      </w:r>
      <w:r w:rsidR="00C46A4F">
        <w:rPr>
          <w:rFonts w:eastAsiaTheme="minorHAnsi" w:cstheme="minorHAnsi"/>
          <w:bCs/>
          <w:lang w:val="en-US" w:eastAsia="en-US"/>
        </w:rPr>
        <w:t>)</w:t>
      </w:r>
      <w:r w:rsidR="00E65C61" w:rsidRPr="007263F0">
        <w:rPr>
          <w:rFonts w:eastAsiaTheme="minorHAnsi" w:cstheme="minorHAnsi"/>
          <w:bCs/>
          <w:lang w:val="en-US" w:eastAsia="en-US"/>
        </w:rPr>
        <w:t xml:space="preserve">, </w:t>
      </w:r>
      <w:r w:rsidR="00E65C61" w:rsidRPr="007263F0">
        <w:rPr>
          <w:lang w:val="en-US"/>
        </w:rPr>
        <w:t xml:space="preserve">  </w:t>
      </w:r>
      <w:r w:rsidR="00237FB6">
        <w:rPr>
          <w:lang w:val="en-US"/>
        </w:rPr>
        <w:t xml:space="preserve">the study </w:t>
      </w:r>
      <w:r w:rsidR="00237FB6" w:rsidRPr="007263F0">
        <w:rPr>
          <w:lang w:val="en-US"/>
        </w:rPr>
        <w:t>concluded that</w:t>
      </w:r>
      <w:r w:rsidR="00E65C61" w:rsidRPr="007263F0">
        <w:rPr>
          <w:lang w:val="en-US"/>
        </w:rPr>
        <w:t>;</w:t>
      </w:r>
    </w:p>
    <w:p w:rsidR="00E65C61" w:rsidRPr="007263F0" w:rsidRDefault="00E65C61" w:rsidP="00E65C61">
      <w:pPr>
        <w:pStyle w:val="ListParagraph"/>
        <w:numPr>
          <w:ilvl w:val="0"/>
          <w:numId w:val="33"/>
        </w:numPr>
        <w:autoSpaceDE w:val="0"/>
        <w:autoSpaceDN w:val="0"/>
        <w:adjustRightInd w:val="0"/>
        <w:rPr>
          <w:rFonts w:cstheme="minorHAnsi"/>
        </w:rPr>
      </w:pPr>
      <w:r w:rsidRPr="007263F0">
        <w:rPr>
          <w:rFonts w:eastAsiaTheme="minorHAnsi" w:cstheme="minorHAnsi"/>
          <w:bCs/>
          <w:lang w:val="en-US" w:eastAsia="en-US"/>
        </w:rPr>
        <w:t>P</w:t>
      </w:r>
      <w:r w:rsidR="00237FB6">
        <w:rPr>
          <w:rFonts w:eastAsiaTheme="minorHAnsi" w:cstheme="minorHAnsi"/>
          <w:bCs/>
          <w:lang w:val="en-US" w:eastAsia="en-US"/>
        </w:rPr>
        <w:t>ublic Sector Undertakings ( that had majority ownership from the government)</w:t>
      </w:r>
      <w:r w:rsidRPr="007263F0">
        <w:rPr>
          <w:rFonts w:eastAsiaTheme="minorHAnsi" w:cstheme="minorHAnsi"/>
          <w:bCs/>
          <w:lang w:val="en-US" w:eastAsia="en-US"/>
        </w:rPr>
        <w:t xml:space="preserve"> actually outperform</w:t>
      </w:r>
      <w:r w:rsidR="00237FB6">
        <w:rPr>
          <w:rFonts w:eastAsiaTheme="minorHAnsi" w:cstheme="minorHAnsi"/>
          <w:bCs/>
          <w:lang w:val="en-US" w:eastAsia="en-US"/>
        </w:rPr>
        <w:t>ed</w:t>
      </w:r>
      <w:r w:rsidRPr="007263F0">
        <w:rPr>
          <w:rFonts w:eastAsiaTheme="minorHAnsi" w:cstheme="minorHAnsi"/>
          <w:bCs/>
          <w:lang w:val="en-US" w:eastAsia="en-US"/>
        </w:rPr>
        <w:t xml:space="preserve"> </w:t>
      </w:r>
      <w:r>
        <w:rPr>
          <w:rFonts w:eastAsiaTheme="minorHAnsi" w:cstheme="minorHAnsi"/>
          <w:bCs/>
          <w:lang w:val="en-US" w:eastAsia="en-US"/>
        </w:rPr>
        <w:t xml:space="preserve">companies </w:t>
      </w:r>
      <w:r w:rsidR="00237FB6">
        <w:rPr>
          <w:rFonts w:eastAsiaTheme="minorHAnsi" w:cstheme="minorHAnsi"/>
          <w:bCs/>
          <w:lang w:val="en-US" w:eastAsia="en-US"/>
        </w:rPr>
        <w:t>that had majority ownership from the other groups</w:t>
      </w:r>
      <w:r>
        <w:rPr>
          <w:rFonts w:eastAsiaTheme="minorHAnsi" w:cstheme="minorHAnsi"/>
          <w:bCs/>
          <w:lang w:val="en-US" w:eastAsia="en-US"/>
        </w:rPr>
        <w:t xml:space="preserve"> </w:t>
      </w:r>
      <w:r w:rsidRPr="007263F0">
        <w:rPr>
          <w:rFonts w:eastAsiaTheme="minorHAnsi" w:cstheme="minorHAnsi"/>
          <w:bCs/>
          <w:lang w:val="en-US" w:eastAsia="en-US"/>
        </w:rPr>
        <w:t xml:space="preserve">and; </w:t>
      </w:r>
    </w:p>
    <w:p w:rsidR="00E65C61" w:rsidRPr="007263F0" w:rsidRDefault="00E65C61" w:rsidP="00E65C61">
      <w:pPr>
        <w:pStyle w:val="ListParagraph"/>
        <w:numPr>
          <w:ilvl w:val="0"/>
          <w:numId w:val="33"/>
        </w:numPr>
        <w:autoSpaceDE w:val="0"/>
        <w:autoSpaceDN w:val="0"/>
        <w:adjustRightInd w:val="0"/>
        <w:rPr>
          <w:rFonts w:cstheme="minorHAnsi"/>
        </w:rPr>
      </w:pPr>
      <w:r w:rsidRPr="007263F0">
        <w:rPr>
          <w:rFonts w:eastAsiaTheme="minorHAnsi" w:cstheme="minorHAnsi"/>
          <w:bCs/>
          <w:lang w:val="en-US" w:eastAsia="en-US"/>
        </w:rPr>
        <w:t xml:space="preserve"> The worst performers</w:t>
      </w:r>
      <w:r w:rsidR="00237FB6">
        <w:rPr>
          <w:rFonts w:eastAsiaTheme="minorHAnsi" w:cstheme="minorHAnsi"/>
          <w:bCs/>
          <w:lang w:val="en-US" w:eastAsia="en-US"/>
        </w:rPr>
        <w:t>,</w:t>
      </w:r>
      <w:r w:rsidRPr="007263F0">
        <w:rPr>
          <w:rFonts w:eastAsiaTheme="minorHAnsi" w:cstheme="minorHAnsi"/>
          <w:bCs/>
          <w:lang w:val="en-US" w:eastAsia="en-US"/>
        </w:rPr>
        <w:t xml:space="preserve"> by a distance</w:t>
      </w:r>
      <w:r w:rsidR="00237FB6">
        <w:rPr>
          <w:rFonts w:eastAsiaTheme="minorHAnsi" w:cstheme="minorHAnsi"/>
          <w:bCs/>
          <w:lang w:val="en-US" w:eastAsia="en-US"/>
        </w:rPr>
        <w:t>,</w:t>
      </w:r>
      <w:r w:rsidRPr="007263F0">
        <w:rPr>
          <w:rFonts w:eastAsiaTheme="minorHAnsi" w:cstheme="minorHAnsi"/>
          <w:bCs/>
          <w:lang w:val="en-US" w:eastAsia="en-US"/>
        </w:rPr>
        <w:t xml:space="preserve"> are family promoter group</w:t>
      </w:r>
      <w:r w:rsidR="00237FB6">
        <w:rPr>
          <w:rFonts w:eastAsiaTheme="minorHAnsi" w:cstheme="minorHAnsi"/>
          <w:bCs/>
          <w:lang w:val="en-US" w:eastAsia="en-US"/>
        </w:rPr>
        <w:t xml:space="preserve"> companies where t</w:t>
      </w:r>
      <w:r w:rsidRPr="007263F0">
        <w:rPr>
          <w:rFonts w:eastAsiaTheme="minorHAnsi" w:cstheme="minorHAnsi"/>
          <w:bCs/>
          <w:lang w:val="en-US" w:eastAsia="en-US"/>
        </w:rPr>
        <w:t>he dominant shareholder control</w:t>
      </w:r>
      <w:r w:rsidR="00237FB6">
        <w:rPr>
          <w:rFonts w:eastAsiaTheme="minorHAnsi" w:cstheme="minorHAnsi"/>
          <w:bCs/>
          <w:lang w:val="en-US" w:eastAsia="en-US"/>
        </w:rPr>
        <w:t xml:space="preserve"> is more than </w:t>
      </w:r>
      <w:r w:rsidRPr="007263F0">
        <w:rPr>
          <w:rFonts w:eastAsiaTheme="minorHAnsi" w:cstheme="minorHAnsi"/>
          <w:bCs/>
          <w:lang w:val="en-US" w:eastAsia="en-US"/>
        </w:rPr>
        <w:t>76%.</w:t>
      </w:r>
    </w:p>
    <w:p w:rsidR="008F5F55" w:rsidRPr="0028020A" w:rsidRDefault="006B2079" w:rsidP="008F5F55">
      <w:pPr>
        <w:spacing w:after="0"/>
        <w:rPr>
          <w:lang w:val="en-US"/>
        </w:rPr>
      </w:pPr>
      <w:r>
        <w:rPr>
          <w:lang w:val="en-US"/>
        </w:rPr>
        <w:t>In India, v</w:t>
      </w:r>
      <w:r w:rsidR="008F5F55">
        <w:rPr>
          <w:lang w:val="en-US"/>
        </w:rPr>
        <w:t xml:space="preserve">arious </w:t>
      </w:r>
      <w:r w:rsidR="008F5F55" w:rsidRPr="0028020A">
        <w:rPr>
          <w:lang w:val="en-US"/>
        </w:rPr>
        <w:t>remedies</w:t>
      </w:r>
      <w:r w:rsidR="00237FB6">
        <w:rPr>
          <w:lang w:val="en-US"/>
        </w:rPr>
        <w:t xml:space="preserve"> are</w:t>
      </w:r>
      <w:r w:rsidR="008F5F55" w:rsidRPr="0028020A">
        <w:rPr>
          <w:lang w:val="en-US"/>
        </w:rPr>
        <w:t xml:space="preserve"> available to minority shareholders for ‘disciplining’ a company and its dominant shareholder for breaches of </w:t>
      </w:r>
      <w:r w:rsidR="00237FB6">
        <w:rPr>
          <w:lang w:val="en-US"/>
        </w:rPr>
        <w:t>governance; these are summarized as</w:t>
      </w:r>
      <w:r w:rsidR="008F5F55">
        <w:rPr>
          <w:lang w:val="en-US"/>
        </w:rPr>
        <w:t xml:space="preserve"> </w:t>
      </w:r>
      <w:r w:rsidR="00237FB6">
        <w:rPr>
          <w:lang w:val="en-US"/>
        </w:rPr>
        <w:t>under;</w:t>
      </w:r>
    </w:p>
    <w:p w:rsidR="008F5F55" w:rsidRPr="0028020A" w:rsidRDefault="008F5F55" w:rsidP="008F5F55">
      <w:pPr>
        <w:pStyle w:val="ListParagraph"/>
        <w:numPr>
          <w:ilvl w:val="0"/>
          <w:numId w:val="32"/>
        </w:numPr>
        <w:spacing w:after="0"/>
        <w:rPr>
          <w:lang w:val="en-US"/>
        </w:rPr>
      </w:pPr>
      <w:r w:rsidRPr="0028020A">
        <w:rPr>
          <w:lang w:val="en-US"/>
        </w:rPr>
        <w:t>SEBI Listing rules</w:t>
      </w:r>
      <w:r>
        <w:rPr>
          <w:lang w:val="en-US"/>
        </w:rPr>
        <w:t xml:space="preserve"> -</w:t>
      </w:r>
      <w:r w:rsidRPr="0028020A">
        <w:rPr>
          <w:lang w:val="en-US"/>
        </w:rPr>
        <w:t xml:space="preserve"> clause 49;</w:t>
      </w:r>
    </w:p>
    <w:p w:rsidR="008F5F55" w:rsidRPr="0028020A" w:rsidRDefault="008F5F55" w:rsidP="008F5F55">
      <w:pPr>
        <w:pStyle w:val="ListParagraph"/>
        <w:numPr>
          <w:ilvl w:val="0"/>
          <w:numId w:val="32"/>
        </w:numPr>
        <w:spacing w:after="0"/>
        <w:rPr>
          <w:lang w:val="en-US"/>
        </w:rPr>
      </w:pPr>
      <w:r w:rsidRPr="0028020A">
        <w:rPr>
          <w:lang w:val="en-US"/>
        </w:rPr>
        <w:t xml:space="preserve">The Indian Companies Act 1956; </w:t>
      </w:r>
    </w:p>
    <w:p w:rsidR="008F5F55" w:rsidRPr="0028020A" w:rsidRDefault="008F5F55" w:rsidP="008F5F55">
      <w:pPr>
        <w:pStyle w:val="ListParagraph"/>
        <w:numPr>
          <w:ilvl w:val="0"/>
          <w:numId w:val="32"/>
        </w:numPr>
        <w:spacing w:after="0"/>
        <w:rPr>
          <w:lang w:val="en-US"/>
        </w:rPr>
      </w:pPr>
      <w:r w:rsidRPr="0028020A">
        <w:rPr>
          <w:lang w:val="en-US"/>
        </w:rPr>
        <w:t xml:space="preserve">Common Law provisions and </w:t>
      </w:r>
    </w:p>
    <w:p w:rsidR="008F5F55" w:rsidRPr="0028020A" w:rsidRDefault="008F5F55" w:rsidP="008F5F55">
      <w:pPr>
        <w:pStyle w:val="ListParagraph"/>
        <w:numPr>
          <w:ilvl w:val="0"/>
          <w:numId w:val="32"/>
        </w:numPr>
        <w:spacing w:after="0"/>
        <w:rPr>
          <w:lang w:val="en-US"/>
        </w:rPr>
      </w:pPr>
      <w:r w:rsidRPr="0028020A">
        <w:rPr>
          <w:lang w:val="en-US"/>
        </w:rPr>
        <w:t>External Market mechanisms – i.e. impairing capital raising ability/secondary market attractiveness</w:t>
      </w:r>
      <w:r>
        <w:rPr>
          <w:lang w:val="en-US"/>
        </w:rPr>
        <w:t xml:space="preserve"> of a company with a bad governance record</w:t>
      </w:r>
      <w:r w:rsidRPr="0028020A">
        <w:rPr>
          <w:lang w:val="en-US"/>
        </w:rPr>
        <w:t xml:space="preserve">. </w:t>
      </w:r>
    </w:p>
    <w:p w:rsidR="008F5F55" w:rsidRPr="0028020A" w:rsidRDefault="008F5F55" w:rsidP="008F5F55">
      <w:pPr>
        <w:spacing w:after="0"/>
        <w:rPr>
          <w:lang w:val="en-US"/>
        </w:rPr>
      </w:pPr>
    </w:p>
    <w:p w:rsidR="008F5F55" w:rsidRDefault="008F5F55" w:rsidP="008F5F55">
      <w:pPr>
        <w:spacing w:after="0"/>
        <w:rPr>
          <w:lang w:val="en-US"/>
        </w:rPr>
      </w:pPr>
      <w:r>
        <w:rPr>
          <w:lang w:val="en-US"/>
        </w:rPr>
        <w:t xml:space="preserve">As the provisions under the </w:t>
      </w:r>
      <w:r w:rsidRPr="0028020A">
        <w:rPr>
          <w:lang w:val="en-US"/>
        </w:rPr>
        <w:t xml:space="preserve">Securities </w:t>
      </w:r>
      <w:r>
        <w:rPr>
          <w:lang w:val="en-US"/>
        </w:rPr>
        <w:t>L</w:t>
      </w:r>
      <w:r w:rsidRPr="0028020A">
        <w:rPr>
          <w:lang w:val="en-US"/>
        </w:rPr>
        <w:t xml:space="preserve">aw </w:t>
      </w:r>
      <w:r>
        <w:rPr>
          <w:lang w:val="en-US"/>
        </w:rPr>
        <w:t xml:space="preserve">can be </w:t>
      </w:r>
      <w:r w:rsidR="006B2079">
        <w:rPr>
          <w:lang w:val="en-US"/>
        </w:rPr>
        <w:t xml:space="preserve">initiated (for </w:t>
      </w:r>
      <w:r>
        <w:rPr>
          <w:lang w:val="en-US"/>
        </w:rPr>
        <w:t>investigat</w:t>
      </w:r>
      <w:r w:rsidR="006B2079">
        <w:rPr>
          <w:lang w:val="en-US"/>
        </w:rPr>
        <w:t>ion)</w:t>
      </w:r>
      <w:r>
        <w:rPr>
          <w:lang w:val="en-US"/>
        </w:rPr>
        <w:t xml:space="preserve"> only by </w:t>
      </w:r>
      <w:r w:rsidRPr="0028020A">
        <w:rPr>
          <w:lang w:val="en-US"/>
        </w:rPr>
        <w:t>SEB</w:t>
      </w:r>
      <w:r>
        <w:rPr>
          <w:lang w:val="en-US"/>
        </w:rPr>
        <w:t>I</w:t>
      </w:r>
      <w:r w:rsidRPr="0028020A">
        <w:rPr>
          <w:lang w:val="en-US"/>
        </w:rPr>
        <w:t>, the</w:t>
      </w:r>
      <w:r>
        <w:rPr>
          <w:lang w:val="en-US"/>
        </w:rPr>
        <w:t xml:space="preserve"> redressal </w:t>
      </w:r>
      <w:r w:rsidRPr="0028020A">
        <w:rPr>
          <w:lang w:val="en-US"/>
        </w:rPr>
        <w:t xml:space="preserve">routes for </w:t>
      </w:r>
      <w:r w:rsidR="006B2079">
        <w:rPr>
          <w:lang w:val="en-US"/>
        </w:rPr>
        <w:t>minority</w:t>
      </w:r>
      <w:r w:rsidRPr="0028020A">
        <w:rPr>
          <w:lang w:val="en-US"/>
        </w:rPr>
        <w:t xml:space="preserve"> shareholders </w:t>
      </w:r>
      <w:r>
        <w:rPr>
          <w:lang w:val="en-US"/>
        </w:rPr>
        <w:t xml:space="preserve">are mainly restricted to those available under common law and under the Companies Act, 1956. </w:t>
      </w:r>
      <w:r w:rsidRPr="0028020A">
        <w:rPr>
          <w:lang w:val="en-US"/>
        </w:rPr>
        <w:t xml:space="preserve"> </w:t>
      </w:r>
    </w:p>
    <w:p w:rsidR="008F5F55" w:rsidRDefault="008F5F55" w:rsidP="008F5F55">
      <w:pPr>
        <w:spacing w:after="0"/>
        <w:rPr>
          <w:lang w:val="en-US"/>
        </w:rPr>
      </w:pPr>
    </w:p>
    <w:p w:rsidR="008F5F55" w:rsidRPr="0028020A" w:rsidRDefault="00977E15" w:rsidP="008F5F55">
      <w:pPr>
        <w:spacing w:after="0"/>
        <w:rPr>
          <w:lang w:val="en-US"/>
        </w:rPr>
      </w:pPr>
      <w:r>
        <w:rPr>
          <w:lang w:val="en-US"/>
        </w:rPr>
        <w:t xml:space="preserve">The </w:t>
      </w:r>
      <w:r w:rsidRPr="0028020A">
        <w:rPr>
          <w:lang w:val="en-US"/>
        </w:rPr>
        <w:t>key</w:t>
      </w:r>
      <w:r w:rsidR="008F5F55" w:rsidRPr="0028020A">
        <w:rPr>
          <w:lang w:val="en-US"/>
        </w:rPr>
        <w:t xml:space="preserve"> re</w:t>
      </w:r>
      <w:r w:rsidR="008F5F55">
        <w:rPr>
          <w:lang w:val="en-US"/>
        </w:rPr>
        <w:t>medies available to the minority shareholders in India are as follows;</w:t>
      </w:r>
    </w:p>
    <w:p w:rsidR="008F5F55" w:rsidRDefault="008F5F55" w:rsidP="008F5F55">
      <w:pPr>
        <w:spacing w:after="0"/>
        <w:ind w:left="720"/>
        <w:rPr>
          <w:lang w:val="en-US"/>
        </w:rPr>
      </w:pPr>
      <w:r w:rsidRPr="0028020A">
        <w:rPr>
          <w:lang w:val="en-US"/>
        </w:rPr>
        <w:t xml:space="preserve">• </w:t>
      </w:r>
      <w:r w:rsidRPr="0028020A">
        <w:rPr>
          <w:bCs/>
          <w:lang w:val="en-US"/>
        </w:rPr>
        <w:t xml:space="preserve">Convene an EGM </w:t>
      </w:r>
      <w:r>
        <w:rPr>
          <w:bCs/>
          <w:lang w:val="en-US"/>
        </w:rPr>
        <w:t>and vote at AGM/EGM</w:t>
      </w:r>
      <w:r w:rsidRPr="0028020A">
        <w:rPr>
          <w:lang w:val="en-US"/>
        </w:rPr>
        <w:t>–</w:t>
      </w:r>
      <w:r>
        <w:rPr>
          <w:lang w:val="en-US"/>
        </w:rPr>
        <w:t xml:space="preserve"> Shareholders holding</w:t>
      </w:r>
      <w:r w:rsidRPr="0028020A">
        <w:rPr>
          <w:lang w:val="en-US"/>
        </w:rPr>
        <w:t xml:space="preserve"> 10% of paid-up share capital or 100 members</w:t>
      </w:r>
      <w:r>
        <w:rPr>
          <w:lang w:val="en-US"/>
        </w:rPr>
        <w:t xml:space="preserve"> can convene an EGM of the shareholders </w:t>
      </w:r>
      <w:r w:rsidRPr="0028020A">
        <w:rPr>
          <w:lang w:val="en-US"/>
        </w:rPr>
        <w:t>(section 169</w:t>
      </w:r>
      <w:r>
        <w:rPr>
          <w:lang w:val="en-US"/>
        </w:rPr>
        <w:t xml:space="preserve"> of the Companies Act</w:t>
      </w:r>
      <w:r w:rsidRPr="0028020A">
        <w:rPr>
          <w:lang w:val="en-US"/>
        </w:rPr>
        <w:t>)</w:t>
      </w:r>
      <w:r>
        <w:rPr>
          <w:lang w:val="en-US"/>
        </w:rPr>
        <w:t xml:space="preserve"> and all shareholders have the right to vote at an AGM/EGM, </w:t>
      </w:r>
      <w:r w:rsidRPr="0028020A">
        <w:rPr>
          <w:lang w:val="en-US"/>
        </w:rPr>
        <w:t xml:space="preserve">either directly or through proxy. </w:t>
      </w:r>
      <w:r>
        <w:rPr>
          <w:lang w:val="en-US"/>
        </w:rPr>
        <w:t>U</w:t>
      </w:r>
      <w:r w:rsidRPr="0028020A">
        <w:rPr>
          <w:lang w:val="en-US"/>
        </w:rPr>
        <w:t xml:space="preserve">nder the companies act voting is by a show of hands unless a poll is requested. Investors can request a poll, if they hold </w:t>
      </w:r>
      <w:r w:rsidR="006163CB">
        <w:rPr>
          <w:lang w:val="en-US"/>
        </w:rPr>
        <w:t xml:space="preserve">more than </w:t>
      </w:r>
      <w:r w:rsidRPr="0028020A">
        <w:rPr>
          <w:lang w:val="en-US"/>
        </w:rPr>
        <w:t>10% of voting rights or Rs.50, 000 of paid up capital</w:t>
      </w:r>
      <w:r>
        <w:rPr>
          <w:lang w:val="en-US"/>
        </w:rPr>
        <w:t xml:space="preserve"> (under section 179 of the Companies Act)</w:t>
      </w:r>
      <w:r w:rsidRPr="0028020A">
        <w:rPr>
          <w:lang w:val="en-US"/>
        </w:rPr>
        <w:t xml:space="preserve"> </w:t>
      </w:r>
    </w:p>
    <w:p w:rsidR="008F5F55" w:rsidRPr="00005BD4" w:rsidRDefault="008F5F55" w:rsidP="008F5F55">
      <w:pPr>
        <w:pStyle w:val="ListParagraph"/>
        <w:numPr>
          <w:ilvl w:val="0"/>
          <w:numId w:val="35"/>
        </w:numPr>
        <w:tabs>
          <w:tab w:val="left" w:pos="900"/>
        </w:tabs>
        <w:spacing w:after="0"/>
        <w:ind w:left="720" w:firstLine="0"/>
        <w:rPr>
          <w:lang w:val="en-US"/>
        </w:rPr>
      </w:pPr>
      <w:r w:rsidRPr="0028020A">
        <w:rPr>
          <w:lang w:val="en-US"/>
        </w:rPr>
        <w:t xml:space="preserve"> </w:t>
      </w:r>
      <w:r w:rsidRPr="00005BD4">
        <w:rPr>
          <w:bCs/>
          <w:lang w:val="en-US"/>
        </w:rPr>
        <w:t xml:space="preserve">Appointing/removing directors </w:t>
      </w:r>
      <w:r w:rsidRPr="00005BD4">
        <w:rPr>
          <w:lang w:val="en-US"/>
        </w:rPr>
        <w:t>–shareholders can propose removal/appointment of a director at an AGM/EGM (under section 257 of the Companies Act, 1956).</w:t>
      </w:r>
    </w:p>
    <w:p w:rsidR="008F5F55" w:rsidRPr="00005BD4" w:rsidRDefault="008F5F55" w:rsidP="008F5F55">
      <w:pPr>
        <w:pStyle w:val="ListParagraph"/>
        <w:numPr>
          <w:ilvl w:val="0"/>
          <w:numId w:val="35"/>
        </w:numPr>
        <w:tabs>
          <w:tab w:val="left" w:pos="990"/>
        </w:tabs>
        <w:spacing w:after="0"/>
        <w:ind w:left="720" w:firstLine="0"/>
        <w:rPr>
          <w:lang w:val="en-US"/>
        </w:rPr>
      </w:pPr>
      <w:r w:rsidRPr="00005BD4">
        <w:rPr>
          <w:lang w:val="en-US"/>
        </w:rPr>
        <w:t xml:space="preserve">Apply to the GOI to </w:t>
      </w:r>
      <w:r w:rsidRPr="00005BD4">
        <w:rPr>
          <w:bCs/>
          <w:lang w:val="en-US"/>
        </w:rPr>
        <w:t xml:space="preserve">investigate the affairs of a company </w:t>
      </w:r>
      <w:r w:rsidRPr="00005BD4">
        <w:rPr>
          <w:lang w:val="en-US"/>
        </w:rPr>
        <w:t>(sections 235 &amp; 236 of the Companies Act), but the</w:t>
      </w:r>
      <w:r>
        <w:rPr>
          <w:lang w:val="en-US"/>
        </w:rPr>
        <w:t xml:space="preserve"> required </w:t>
      </w:r>
      <w:r w:rsidRPr="00005BD4">
        <w:rPr>
          <w:lang w:val="en-US"/>
        </w:rPr>
        <w:t>burden of proof</w:t>
      </w:r>
      <w:r>
        <w:rPr>
          <w:lang w:val="en-US"/>
        </w:rPr>
        <w:t xml:space="preserve"> for this to happen</w:t>
      </w:r>
      <w:r w:rsidRPr="00005BD4">
        <w:rPr>
          <w:lang w:val="en-US"/>
        </w:rPr>
        <w:t xml:space="preserve"> is very high and odds of this happening on a PSU are very low.</w:t>
      </w:r>
    </w:p>
    <w:p w:rsidR="008F5F55" w:rsidRPr="0028020A" w:rsidRDefault="008F5F55" w:rsidP="008F5F55">
      <w:pPr>
        <w:spacing w:after="0"/>
        <w:ind w:left="720"/>
        <w:rPr>
          <w:lang w:val="en-US"/>
        </w:rPr>
      </w:pPr>
      <w:r w:rsidRPr="0028020A">
        <w:rPr>
          <w:lang w:val="en-US"/>
        </w:rPr>
        <w:t xml:space="preserve">• </w:t>
      </w:r>
      <w:r w:rsidRPr="0028020A">
        <w:rPr>
          <w:bCs/>
          <w:lang w:val="en-US"/>
        </w:rPr>
        <w:t xml:space="preserve">Complain to the Company Law </w:t>
      </w:r>
      <w:r w:rsidR="0053693D" w:rsidRPr="0028020A">
        <w:rPr>
          <w:bCs/>
          <w:lang w:val="en-US"/>
        </w:rPr>
        <w:t>Board</w:t>
      </w:r>
      <w:r w:rsidR="0053693D">
        <w:rPr>
          <w:bCs/>
          <w:lang w:val="en-US"/>
        </w:rPr>
        <w:t xml:space="preserve"> (</w:t>
      </w:r>
      <w:r w:rsidR="006163CB">
        <w:rPr>
          <w:bCs/>
          <w:lang w:val="en-US"/>
        </w:rPr>
        <w:t>CLB)</w:t>
      </w:r>
      <w:r w:rsidRPr="0028020A">
        <w:rPr>
          <w:bCs/>
          <w:lang w:val="en-US"/>
        </w:rPr>
        <w:t xml:space="preserve"> </w:t>
      </w:r>
      <w:r w:rsidRPr="0028020A">
        <w:rPr>
          <w:lang w:val="en-US"/>
        </w:rPr>
        <w:t>on grounds of oppression of minority and/or mismanagement by the majority (sections 397, 398, 399</w:t>
      </w:r>
      <w:r>
        <w:rPr>
          <w:lang w:val="en-US"/>
        </w:rPr>
        <w:t xml:space="preserve"> of the Companies Act</w:t>
      </w:r>
      <w:r w:rsidRPr="0028020A">
        <w:rPr>
          <w:lang w:val="en-US"/>
        </w:rPr>
        <w:t xml:space="preserve">). This needs 100 members or 10% share capital. Minority shareholders can apply </w:t>
      </w:r>
      <w:r w:rsidR="006163CB">
        <w:rPr>
          <w:lang w:val="en-US"/>
        </w:rPr>
        <w:t xml:space="preserve">to the CLB </w:t>
      </w:r>
      <w:r w:rsidRPr="0028020A">
        <w:rPr>
          <w:lang w:val="en-US"/>
        </w:rPr>
        <w:t xml:space="preserve">for ‘relief’ </w:t>
      </w:r>
      <w:r>
        <w:rPr>
          <w:lang w:val="en-US"/>
        </w:rPr>
        <w:t xml:space="preserve">and </w:t>
      </w:r>
      <w:r w:rsidRPr="0028020A">
        <w:rPr>
          <w:lang w:val="en-US"/>
        </w:rPr>
        <w:t>there is even a winding up provision</w:t>
      </w:r>
      <w:r>
        <w:rPr>
          <w:lang w:val="en-US"/>
        </w:rPr>
        <w:t xml:space="preserve"> in the Companies Act</w:t>
      </w:r>
      <w:r w:rsidRPr="0028020A">
        <w:rPr>
          <w:lang w:val="en-US"/>
        </w:rPr>
        <w:t xml:space="preserve"> – though onus of proof understandably high.</w:t>
      </w:r>
    </w:p>
    <w:p w:rsidR="008F5F55" w:rsidRPr="0028020A" w:rsidRDefault="008F5F55" w:rsidP="008F5F55">
      <w:pPr>
        <w:spacing w:after="0"/>
        <w:ind w:left="720"/>
        <w:rPr>
          <w:lang w:val="en-US"/>
        </w:rPr>
      </w:pPr>
      <w:r w:rsidRPr="0028020A">
        <w:rPr>
          <w:lang w:val="en-US"/>
        </w:rPr>
        <w:lastRenderedPageBreak/>
        <w:t xml:space="preserve">• </w:t>
      </w:r>
      <w:r w:rsidRPr="0028020A">
        <w:rPr>
          <w:bCs/>
          <w:lang w:val="en-US"/>
        </w:rPr>
        <w:t xml:space="preserve">Sue management/dominant shareholders under common law </w:t>
      </w:r>
      <w:r w:rsidRPr="0028020A">
        <w:rPr>
          <w:lang w:val="en-US"/>
        </w:rPr>
        <w:t>for negligence or misconduct, fraud, misappropriation of company assets, of fiduciary duty etc.</w:t>
      </w:r>
    </w:p>
    <w:p w:rsidR="008F5F55" w:rsidRPr="00005BD4" w:rsidRDefault="008F5F55" w:rsidP="008F5F55">
      <w:pPr>
        <w:spacing w:after="0"/>
        <w:ind w:left="720"/>
        <w:rPr>
          <w:bCs/>
          <w:lang w:val="en-US"/>
        </w:rPr>
      </w:pPr>
      <w:r w:rsidRPr="0028020A">
        <w:rPr>
          <w:lang w:val="en-US"/>
        </w:rPr>
        <w:t xml:space="preserve">• </w:t>
      </w:r>
      <w:r w:rsidRPr="00005BD4">
        <w:rPr>
          <w:bCs/>
          <w:lang w:val="en-US"/>
        </w:rPr>
        <w:t>Compensation for misstatements in prospectus</w:t>
      </w:r>
    </w:p>
    <w:p w:rsidR="008F5F55" w:rsidRPr="0028020A" w:rsidRDefault="008F5F55" w:rsidP="008F5F55">
      <w:pPr>
        <w:spacing w:after="0"/>
        <w:ind w:left="720"/>
        <w:rPr>
          <w:lang w:val="en-US"/>
        </w:rPr>
      </w:pPr>
      <w:r w:rsidRPr="0028020A">
        <w:rPr>
          <w:lang w:val="en-US"/>
        </w:rPr>
        <w:t xml:space="preserve">• </w:t>
      </w:r>
      <w:r w:rsidRPr="0028020A">
        <w:rPr>
          <w:bCs/>
          <w:lang w:val="en-US"/>
        </w:rPr>
        <w:t xml:space="preserve">Documentation requests </w:t>
      </w:r>
      <w:r w:rsidRPr="0028020A">
        <w:rPr>
          <w:lang w:val="en-US"/>
        </w:rPr>
        <w:t>– with the exception of board minutes most formal documentation can be requested.</w:t>
      </w:r>
    </w:p>
    <w:p w:rsidR="008F5F55" w:rsidRPr="0028020A" w:rsidRDefault="008F5F55" w:rsidP="008F5F55">
      <w:pPr>
        <w:spacing w:after="0"/>
        <w:ind w:left="720"/>
        <w:rPr>
          <w:lang w:val="en-US"/>
        </w:rPr>
      </w:pPr>
      <w:r w:rsidRPr="0028020A">
        <w:rPr>
          <w:lang w:val="en-US"/>
        </w:rPr>
        <w:t xml:space="preserve">• </w:t>
      </w:r>
      <w:r>
        <w:rPr>
          <w:lang w:val="en-US"/>
        </w:rPr>
        <w:t>Seek information from the Government Department/Ministry under the F</w:t>
      </w:r>
      <w:r w:rsidRPr="0028020A">
        <w:rPr>
          <w:bCs/>
          <w:lang w:val="en-US"/>
        </w:rPr>
        <w:t>reedom of Information Act.</w:t>
      </w:r>
    </w:p>
    <w:p w:rsidR="008F5F55" w:rsidRPr="00005BD4" w:rsidRDefault="008F5F55" w:rsidP="008F5F55">
      <w:pPr>
        <w:spacing w:after="0"/>
        <w:ind w:left="360"/>
        <w:rPr>
          <w:lang w:val="en-US"/>
        </w:rPr>
      </w:pPr>
      <w:r w:rsidRPr="00005BD4">
        <w:rPr>
          <w:lang w:val="en-US"/>
        </w:rPr>
        <w:t xml:space="preserve"> </w:t>
      </w:r>
    </w:p>
    <w:p w:rsidR="008F5F55" w:rsidRPr="0028020A" w:rsidRDefault="008F5F55" w:rsidP="008F5F55">
      <w:pPr>
        <w:spacing w:after="0"/>
        <w:rPr>
          <w:lang w:val="en-US"/>
        </w:rPr>
      </w:pPr>
      <w:r w:rsidRPr="0028020A">
        <w:rPr>
          <w:lang w:val="en-US"/>
        </w:rPr>
        <w:t>Relief</w:t>
      </w:r>
      <w:r>
        <w:rPr>
          <w:lang w:val="en-US"/>
        </w:rPr>
        <w:t>, for the minority shareholders,</w:t>
      </w:r>
      <w:r w:rsidRPr="0028020A">
        <w:rPr>
          <w:lang w:val="en-US"/>
        </w:rPr>
        <w:t xml:space="preserve"> can mean a number of things – future regulation of the company’s affairs, buy-out of the complaining shareholders, termination/modification of agreements.</w:t>
      </w:r>
    </w:p>
    <w:p w:rsidR="008F5F55" w:rsidRPr="0028020A" w:rsidRDefault="008F5F55" w:rsidP="008F5F55">
      <w:pPr>
        <w:spacing w:after="0"/>
      </w:pPr>
    </w:p>
    <w:p w:rsidR="008F5F55" w:rsidRPr="003C51CB" w:rsidRDefault="008F5F55" w:rsidP="008F5F55">
      <w:pPr>
        <w:spacing w:after="0"/>
        <w:rPr>
          <w:bCs/>
          <w:iCs/>
          <w:lang w:val="en-US"/>
        </w:rPr>
      </w:pPr>
      <w:r w:rsidRPr="0028020A">
        <w:rPr>
          <w:lang w:val="en-US"/>
        </w:rPr>
        <w:t xml:space="preserve"> Using the Coal India –TCIF case as a topical example</w:t>
      </w:r>
      <w:r w:rsidR="006C0F5B">
        <w:rPr>
          <w:lang w:val="en-US"/>
        </w:rPr>
        <w:t>,</w:t>
      </w:r>
      <w:r w:rsidR="006C0F5B" w:rsidRPr="0028020A">
        <w:rPr>
          <w:lang w:val="en-US"/>
        </w:rPr>
        <w:t xml:space="preserve"> </w:t>
      </w:r>
      <w:r w:rsidR="006C0F5B">
        <w:rPr>
          <w:lang w:val="en-US"/>
        </w:rPr>
        <w:t>the</w:t>
      </w:r>
      <w:r w:rsidR="00760516">
        <w:rPr>
          <w:lang w:val="en-US"/>
        </w:rPr>
        <w:t xml:space="preserve"> study by Espirito Santos </w:t>
      </w:r>
      <w:r w:rsidR="006C0F5B">
        <w:rPr>
          <w:lang w:val="en-US"/>
        </w:rPr>
        <w:t xml:space="preserve">Securities </w:t>
      </w:r>
      <w:r w:rsidR="006C0F5B" w:rsidRPr="0028020A">
        <w:rPr>
          <w:lang w:val="en-US"/>
        </w:rPr>
        <w:t>looked</w:t>
      </w:r>
      <w:r w:rsidRPr="0028020A">
        <w:rPr>
          <w:lang w:val="en-US"/>
        </w:rPr>
        <w:t xml:space="preserve"> at possible routes and chances of success</w:t>
      </w:r>
      <w:r w:rsidRPr="0028020A">
        <w:rPr>
          <w:rStyle w:val="FootnoteReference"/>
          <w:lang w:val="en-US"/>
        </w:rPr>
        <w:footnoteReference w:id="67"/>
      </w:r>
      <w:r w:rsidRPr="0028020A">
        <w:rPr>
          <w:lang w:val="en-US"/>
        </w:rPr>
        <w:t xml:space="preserve"> </w:t>
      </w:r>
      <w:r w:rsidR="00760516">
        <w:rPr>
          <w:lang w:val="en-US"/>
        </w:rPr>
        <w:t xml:space="preserve"> of the campaign by a minority </w:t>
      </w:r>
      <w:r w:rsidR="006C0F5B">
        <w:rPr>
          <w:lang w:val="en-US"/>
        </w:rPr>
        <w:t>shareholder against</w:t>
      </w:r>
      <w:r w:rsidR="00760516">
        <w:rPr>
          <w:lang w:val="en-US"/>
        </w:rPr>
        <w:t xml:space="preserve"> the Board of the Company and concluded that  </w:t>
      </w:r>
      <w:r w:rsidRPr="0028020A">
        <w:rPr>
          <w:lang w:val="en-US"/>
        </w:rPr>
        <w:t xml:space="preserve"> though the minority </w:t>
      </w:r>
      <w:r w:rsidRPr="007263F0">
        <w:rPr>
          <w:lang w:val="en-US"/>
        </w:rPr>
        <w:t>s</w:t>
      </w:r>
      <w:r w:rsidRPr="007263F0">
        <w:rPr>
          <w:bCs/>
          <w:iCs/>
          <w:lang w:val="en-US"/>
        </w:rPr>
        <w:t>hareholders</w:t>
      </w:r>
      <w:r w:rsidRPr="0028020A">
        <w:rPr>
          <w:b/>
          <w:bCs/>
          <w:iCs/>
          <w:lang w:val="en-US"/>
        </w:rPr>
        <w:t xml:space="preserve"> </w:t>
      </w:r>
      <w:r w:rsidRPr="007263F0">
        <w:rPr>
          <w:bCs/>
          <w:iCs/>
          <w:lang w:val="en-US"/>
        </w:rPr>
        <w:t>have a number of key rights under company and common law that can be used to ‘discipline’ a company or its directors</w:t>
      </w:r>
      <w:r w:rsidR="006B2079">
        <w:rPr>
          <w:bCs/>
          <w:iCs/>
          <w:lang w:val="en-US"/>
        </w:rPr>
        <w:t>, i</w:t>
      </w:r>
      <w:r w:rsidRPr="007263F0">
        <w:rPr>
          <w:bCs/>
          <w:iCs/>
          <w:lang w:val="en-US"/>
        </w:rPr>
        <w:t>t appear</w:t>
      </w:r>
      <w:r w:rsidR="006B2079">
        <w:rPr>
          <w:bCs/>
          <w:iCs/>
          <w:lang w:val="en-US"/>
        </w:rPr>
        <w:t>ed</w:t>
      </w:r>
      <w:r w:rsidRPr="007263F0">
        <w:rPr>
          <w:bCs/>
          <w:iCs/>
          <w:lang w:val="en-US"/>
        </w:rPr>
        <w:t xml:space="preserve"> that TCIF going down the common law route is likely to be a long, drawn-out process</w:t>
      </w:r>
      <w:r>
        <w:rPr>
          <w:bCs/>
          <w:iCs/>
          <w:lang w:val="en-US"/>
        </w:rPr>
        <w:t xml:space="preserve">. </w:t>
      </w:r>
      <w:r w:rsidRPr="003C51CB">
        <w:rPr>
          <w:lang w:val="en-US"/>
        </w:rPr>
        <w:t xml:space="preserve">Given the </w:t>
      </w:r>
      <w:r w:rsidR="006B2079">
        <w:rPr>
          <w:lang w:val="en-US"/>
        </w:rPr>
        <w:t xml:space="preserve">challenges </w:t>
      </w:r>
      <w:r w:rsidRPr="003C51CB">
        <w:rPr>
          <w:lang w:val="en-US"/>
        </w:rPr>
        <w:t xml:space="preserve">in the </w:t>
      </w:r>
      <w:r w:rsidR="006B2079">
        <w:rPr>
          <w:lang w:val="en-US"/>
        </w:rPr>
        <w:t xml:space="preserve">Indian </w:t>
      </w:r>
      <w:r w:rsidRPr="003C51CB">
        <w:rPr>
          <w:lang w:val="en-US"/>
        </w:rPr>
        <w:t xml:space="preserve">power </w:t>
      </w:r>
      <w:r w:rsidR="006B2079" w:rsidRPr="003C51CB">
        <w:rPr>
          <w:lang w:val="en-US"/>
        </w:rPr>
        <w:t>sector</w:t>
      </w:r>
      <w:r w:rsidR="006B2079">
        <w:rPr>
          <w:lang w:val="en-US"/>
        </w:rPr>
        <w:t xml:space="preserve"> (which consumes the bulk of Coal India’s supplies)</w:t>
      </w:r>
      <w:r w:rsidRPr="003C51CB">
        <w:rPr>
          <w:lang w:val="en-US"/>
        </w:rPr>
        <w:t>, the</w:t>
      </w:r>
      <w:r>
        <w:rPr>
          <w:lang w:val="en-US"/>
        </w:rPr>
        <w:t xml:space="preserve"> Indian </w:t>
      </w:r>
      <w:r w:rsidRPr="003C51CB">
        <w:rPr>
          <w:lang w:val="en-US"/>
        </w:rPr>
        <w:t xml:space="preserve">government and CIL </w:t>
      </w:r>
      <w:r w:rsidR="006B2079" w:rsidRPr="003C51CB">
        <w:rPr>
          <w:lang w:val="en-US"/>
        </w:rPr>
        <w:t>w</w:t>
      </w:r>
      <w:r w:rsidR="006B2079">
        <w:rPr>
          <w:lang w:val="en-US"/>
        </w:rPr>
        <w:t xml:space="preserve">ould </w:t>
      </w:r>
      <w:r w:rsidR="006B2079" w:rsidRPr="003C51CB">
        <w:rPr>
          <w:lang w:val="en-US"/>
        </w:rPr>
        <w:t>be</w:t>
      </w:r>
      <w:r w:rsidRPr="003C51CB">
        <w:rPr>
          <w:lang w:val="en-US"/>
        </w:rPr>
        <w:t xml:space="preserve"> extremely reluctant to be pushed towards a situation where </w:t>
      </w:r>
      <w:r w:rsidR="006B2079">
        <w:rPr>
          <w:lang w:val="en-US"/>
        </w:rPr>
        <w:t xml:space="preserve">coal </w:t>
      </w:r>
      <w:r w:rsidRPr="003C51CB">
        <w:rPr>
          <w:lang w:val="en-US"/>
        </w:rPr>
        <w:t xml:space="preserve">prices are materially raised. </w:t>
      </w:r>
      <w:r>
        <w:rPr>
          <w:lang w:val="en-US"/>
        </w:rPr>
        <w:t>Moreover, the disclaimer in the Draft Red Herring Prospectus (</w:t>
      </w:r>
      <w:r w:rsidRPr="003C51CB">
        <w:rPr>
          <w:lang w:val="en-US"/>
        </w:rPr>
        <w:t>DRHP</w:t>
      </w:r>
      <w:r>
        <w:rPr>
          <w:lang w:val="en-US"/>
        </w:rPr>
        <w:t>)</w:t>
      </w:r>
      <w:r>
        <w:rPr>
          <w:rStyle w:val="FootnoteReference"/>
          <w:lang w:val="en-US"/>
        </w:rPr>
        <w:footnoteReference w:id="68"/>
      </w:r>
      <w:r w:rsidRPr="003C51CB">
        <w:rPr>
          <w:lang w:val="en-US"/>
        </w:rPr>
        <w:t xml:space="preserve"> and the Supreme Court rulings</w:t>
      </w:r>
      <w:r>
        <w:rPr>
          <w:rStyle w:val="FootnoteReference"/>
          <w:lang w:val="en-US"/>
        </w:rPr>
        <w:footnoteReference w:id="69"/>
      </w:r>
      <w:r w:rsidRPr="003C51CB">
        <w:rPr>
          <w:lang w:val="en-US"/>
        </w:rPr>
        <w:t xml:space="preserve"> </w:t>
      </w:r>
      <w:r w:rsidR="006B2079">
        <w:rPr>
          <w:lang w:val="en-US"/>
        </w:rPr>
        <w:t>,</w:t>
      </w:r>
      <w:r w:rsidRPr="003C51CB">
        <w:rPr>
          <w:lang w:val="en-US"/>
        </w:rPr>
        <w:t xml:space="preserve">which suggest that the government is the trustee of natural resources and does have the rights to fix </w:t>
      </w:r>
      <w:r w:rsidR="0010701B" w:rsidRPr="003C51CB">
        <w:rPr>
          <w:lang w:val="en-US"/>
        </w:rPr>
        <w:t>prices</w:t>
      </w:r>
      <w:r w:rsidR="006B2079">
        <w:rPr>
          <w:lang w:val="en-US"/>
        </w:rPr>
        <w:t>,</w:t>
      </w:r>
      <w:r w:rsidRPr="003C51CB">
        <w:rPr>
          <w:lang w:val="en-US"/>
        </w:rPr>
        <w:t xml:space="preserve"> make</w:t>
      </w:r>
      <w:r w:rsidR="0010701B">
        <w:rPr>
          <w:lang w:val="en-US"/>
        </w:rPr>
        <w:t xml:space="preserve">s the case </w:t>
      </w:r>
      <w:r w:rsidR="00A37E5A">
        <w:rPr>
          <w:lang w:val="en-US"/>
        </w:rPr>
        <w:t xml:space="preserve">of </w:t>
      </w:r>
      <w:r w:rsidR="00A37E5A" w:rsidRPr="003C51CB">
        <w:rPr>
          <w:lang w:val="en-US"/>
        </w:rPr>
        <w:t>TCIF</w:t>
      </w:r>
      <w:r w:rsidR="0010701B">
        <w:rPr>
          <w:lang w:val="en-US"/>
        </w:rPr>
        <w:t xml:space="preserve"> even</w:t>
      </w:r>
      <w:r w:rsidRPr="003C51CB">
        <w:rPr>
          <w:lang w:val="en-US"/>
        </w:rPr>
        <w:t xml:space="preserve"> harder.</w:t>
      </w:r>
    </w:p>
    <w:p w:rsidR="008F5F55" w:rsidRPr="007263F0" w:rsidRDefault="008F5F55" w:rsidP="008F5F55">
      <w:pPr>
        <w:spacing w:after="0"/>
        <w:rPr>
          <w:lang w:val="en-US"/>
        </w:rPr>
      </w:pPr>
    </w:p>
    <w:p w:rsidR="008F5F55" w:rsidRDefault="00F51925" w:rsidP="00B3102C">
      <w:pPr>
        <w:spacing w:after="0"/>
        <w:rPr>
          <w:lang w:val="en-US"/>
        </w:rPr>
      </w:pPr>
      <w:r>
        <w:rPr>
          <w:lang w:val="en-US"/>
        </w:rPr>
        <w:t>The anecdotal</w:t>
      </w:r>
      <w:r w:rsidR="005F74C4">
        <w:rPr>
          <w:lang w:val="en-US"/>
        </w:rPr>
        <w:t xml:space="preserve"> evidence as regards corporate governance in Indian </w:t>
      </w:r>
      <w:r w:rsidR="006F618A">
        <w:rPr>
          <w:lang w:val="en-US"/>
        </w:rPr>
        <w:t>SOEs</w:t>
      </w:r>
      <w:r w:rsidR="005F74C4">
        <w:rPr>
          <w:lang w:val="en-US"/>
        </w:rPr>
        <w:t xml:space="preserve"> is quite poor</w:t>
      </w:r>
      <w:r w:rsidR="006F618A">
        <w:rPr>
          <w:lang w:val="en-US"/>
        </w:rPr>
        <w:t>; indeed</w:t>
      </w:r>
      <w:r w:rsidR="005F74C4">
        <w:rPr>
          <w:lang w:val="en-US"/>
        </w:rPr>
        <w:t xml:space="preserve"> there have been many instances where decisions have been prompted by political and policy considerations of the government and against the</w:t>
      </w:r>
      <w:r w:rsidR="00D1314F">
        <w:rPr>
          <w:lang w:val="en-US"/>
        </w:rPr>
        <w:t xml:space="preserve"> long term</w:t>
      </w:r>
      <w:r w:rsidR="005F74C4">
        <w:rPr>
          <w:lang w:val="en-US"/>
        </w:rPr>
        <w:t xml:space="preserve"> interest of the minority shareholders.</w:t>
      </w:r>
    </w:p>
    <w:p w:rsidR="00A11FA0" w:rsidRDefault="00A11FA0" w:rsidP="005F74C4">
      <w:pPr>
        <w:spacing w:after="0"/>
        <w:rPr>
          <w:b/>
          <w:bCs/>
          <w:u w:val="single"/>
          <w:lang w:val="en-US"/>
        </w:rPr>
      </w:pPr>
    </w:p>
    <w:p w:rsidR="00F51925" w:rsidRPr="0035698D" w:rsidRDefault="009A79D1" w:rsidP="005F74C4">
      <w:pPr>
        <w:spacing w:after="0"/>
        <w:rPr>
          <w:b/>
          <w:bCs/>
          <w:u w:val="single"/>
          <w:lang w:val="en-US"/>
        </w:rPr>
      </w:pPr>
      <w:r w:rsidRPr="0035698D">
        <w:rPr>
          <w:b/>
          <w:bCs/>
          <w:u w:val="single"/>
          <w:lang w:val="en-US"/>
        </w:rPr>
        <w:t>Adopting a</w:t>
      </w:r>
      <w:r w:rsidR="00F51925" w:rsidRPr="0035698D">
        <w:rPr>
          <w:b/>
          <w:bCs/>
          <w:u w:val="single"/>
          <w:lang w:val="en-US"/>
        </w:rPr>
        <w:t xml:space="preserve"> liberal dividend policy </w:t>
      </w:r>
      <w:r w:rsidR="006C38AA" w:rsidRPr="0035698D">
        <w:rPr>
          <w:b/>
          <w:bCs/>
          <w:u w:val="single"/>
          <w:lang w:val="en-US"/>
        </w:rPr>
        <w:t xml:space="preserve">in </w:t>
      </w:r>
      <w:r w:rsidR="00F51925" w:rsidRPr="0035698D">
        <w:rPr>
          <w:b/>
          <w:bCs/>
          <w:u w:val="single"/>
          <w:lang w:val="en-US"/>
        </w:rPr>
        <w:t xml:space="preserve">SOEs to bridge </w:t>
      </w:r>
      <w:r w:rsidR="00195E95" w:rsidRPr="0035698D">
        <w:rPr>
          <w:b/>
          <w:bCs/>
          <w:u w:val="single"/>
          <w:lang w:val="en-US"/>
        </w:rPr>
        <w:t>GoI’s fiscal</w:t>
      </w:r>
      <w:r w:rsidR="00F51925" w:rsidRPr="0035698D">
        <w:rPr>
          <w:b/>
          <w:bCs/>
          <w:u w:val="single"/>
          <w:lang w:val="en-US"/>
        </w:rPr>
        <w:t xml:space="preserve"> deficit:</w:t>
      </w:r>
    </w:p>
    <w:p w:rsidR="00F51925" w:rsidRDefault="005F74C4" w:rsidP="005F74C4">
      <w:pPr>
        <w:spacing w:after="0"/>
        <w:rPr>
          <w:lang w:val="en-US"/>
        </w:rPr>
      </w:pPr>
      <w:r w:rsidRPr="005F74C4">
        <w:rPr>
          <w:lang w:val="en-US"/>
        </w:rPr>
        <w:t xml:space="preserve"> </w:t>
      </w:r>
    </w:p>
    <w:p w:rsidR="00F51925" w:rsidRDefault="00F51925" w:rsidP="005F74C4">
      <w:pPr>
        <w:spacing w:after="0"/>
      </w:pPr>
      <w:r>
        <w:rPr>
          <w:lang w:val="en-US"/>
        </w:rPr>
        <w:t xml:space="preserve">Liberal </w:t>
      </w:r>
      <w:r w:rsidRPr="00F51925">
        <w:t>dividends from cash-rich PSUs has been a way</w:t>
      </w:r>
      <w:r>
        <w:t xml:space="preserve"> used by the Indian </w:t>
      </w:r>
      <w:r w:rsidRPr="00F51925">
        <w:t xml:space="preserve">government </w:t>
      </w:r>
      <w:r>
        <w:t xml:space="preserve">to </w:t>
      </w:r>
      <w:r w:rsidRPr="00F51925">
        <w:t xml:space="preserve">bridge the shortfall in revenues </w:t>
      </w:r>
      <w:r>
        <w:t xml:space="preserve">especially in years when the </w:t>
      </w:r>
      <w:r w:rsidRPr="00F51925">
        <w:t>government did not have time to complete its ambitious disinvestment target</w:t>
      </w:r>
      <w:r>
        <w:t>s</w:t>
      </w:r>
      <w:r w:rsidRPr="00F51925">
        <w:t>.</w:t>
      </w:r>
      <w:r>
        <w:t xml:space="preserve"> </w:t>
      </w:r>
      <w:r w:rsidRPr="00F51925">
        <w:t xml:space="preserve">India’s widening fiscal deficit, on account of a shortfall in disinvestment target and drop in tax collections because of slowdown in economic growth, </w:t>
      </w:r>
      <w:r>
        <w:t xml:space="preserve">has on several occasions </w:t>
      </w:r>
      <w:r w:rsidRPr="00F51925">
        <w:t>forced the government to ask profit-making state-owned enterprises to pay additional dividend</w:t>
      </w:r>
      <w:r w:rsidR="00A11FA0">
        <w:t>s</w:t>
      </w:r>
      <w:r>
        <w:rPr>
          <w:rStyle w:val="FootnoteReference"/>
        </w:rPr>
        <w:footnoteReference w:id="70"/>
      </w:r>
      <w:r w:rsidRPr="00F51925">
        <w:t>.</w:t>
      </w:r>
    </w:p>
    <w:p w:rsidR="00D1314F" w:rsidRDefault="00D1314F" w:rsidP="005F74C4">
      <w:pPr>
        <w:spacing w:after="0"/>
        <w:rPr>
          <w:lang w:val="en-US"/>
        </w:rPr>
      </w:pPr>
    </w:p>
    <w:p w:rsidR="008467E4" w:rsidRDefault="008467E4" w:rsidP="005F74C4">
      <w:pPr>
        <w:spacing w:after="0"/>
        <w:rPr>
          <w:lang w:val="en-US"/>
        </w:rPr>
      </w:pPr>
      <w:r>
        <w:rPr>
          <w:lang w:val="en-US"/>
        </w:rPr>
        <w:t>A review of the dividend payout by the cash rich ONGC</w:t>
      </w:r>
      <w:r w:rsidR="00704534">
        <w:rPr>
          <w:lang w:val="en-US"/>
        </w:rPr>
        <w:t xml:space="preserve"> over the years shows</w:t>
      </w:r>
      <w:r>
        <w:rPr>
          <w:lang w:val="en-US"/>
        </w:rPr>
        <w:t xml:space="preserve"> </w:t>
      </w:r>
      <w:r w:rsidR="00704534">
        <w:rPr>
          <w:lang w:val="en-US"/>
        </w:rPr>
        <w:t>how G</w:t>
      </w:r>
      <w:r w:rsidR="00A11FA0">
        <w:rPr>
          <w:lang w:val="en-US"/>
        </w:rPr>
        <w:t>o</w:t>
      </w:r>
      <w:r w:rsidR="00704534">
        <w:rPr>
          <w:lang w:val="en-US"/>
        </w:rPr>
        <w:t>I (as the majority shareholder) has used the resources of ONGC to meet its fiscal objectives.</w:t>
      </w:r>
      <w:r>
        <w:rPr>
          <w:lang w:val="en-US"/>
        </w:rPr>
        <w:t xml:space="preserve"> </w:t>
      </w:r>
    </w:p>
    <w:p w:rsidR="00531D98" w:rsidRDefault="00531D98" w:rsidP="00531D98">
      <w:pPr>
        <w:spacing w:after="0"/>
        <w:rPr>
          <w:lang w:val="en-US"/>
        </w:rPr>
      </w:pPr>
    </w:p>
    <w:p w:rsidR="00531D98" w:rsidRPr="00531D98" w:rsidRDefault="00531D98" w:rsidP="00531D98">
      <w:pPr>
        <w:spacing w:after="0"/>
        <w:rPr>
          <w:lang w:val="en-US"/>
        </w:rPr>
      </w:pPr>
      <w:r w:rsidRPr="00531D98">
        <w:rPr>
          <w:lang w:val="en-US"/>
        </w:rPr>
        <w:t>As stated in the dividend policy of ONGC</w:t>
      </w:r>
      <w:r w:rsidR="00673C8B">
        <w:rPr>
          <w:rStyle w:val="FootnoteReference"/>
          <w:lang w:val="en-US"/>
        </w:rPr>
        <w:footnoteReference w:id="71"/>
      </w:r>
      <w:r>
        <w:rPr>
          <w:lang w:val="en-US"/>
        </w:rPr>
        <w:t>,</w:t>
      </w:r>
      <w:r w:rsidRPr="00531D98">
        <w:rPr>
          <w:lang w:val="en-US"/>
        </w:rPr>
        <w:t xml:space="preserve"> dividends are declared at the Annual General Meeting of the shareholders based on the recommendation by the Board; generally, the factors that are considered by the Board before making any recommendations for the dividend include, but are not limited to, future capital expenditure plans, profits earned during the financial year, cost of raising funds from alternate sources, cash flow position and applicable taxes including tax on dividend. ONGC dividends are also subject to G</w:t>
      </w:r>
      <w:r w:rsidR="00A11FA0">
        <w:rPr>
          <w:lang w:val="en-US"/>
        </w:rPr>
        <w:t>o</w:t>
      </w:r>
      <w:r w:rsidRPr="00531D98">
        <w:rPr>
          <w:lang w:val="en-US"/>
        </w:rPr>
        <w:t>I guidelines dated February 11, 1998 from the Government of India which prescribe that, all profit-making PSUs which are essentially commercial enterprises should declare the higher of a minimum dividend of 20 percent on equity or a minimum dividend payout of 20 percent of post-tax profit. Furthermore, the minimum dividend pay-out in respect of enterprises in the oil, petroleum, chemical and other infrastructure sectors such as us should be 30 percent of post-tax profits.</w:t>
      </w:r>
    </w:p>
    <w:p w:rsidR="003931CB" w:rsidRDefault="003931CB" w:rsidP="005F74C4">
      <w:pPr>
        <w:spacing w:after="0"/>
        <w:rPr>
          <w:lang w:val="en-US"/>
        </w:rPr>
      </w:pPr>
    </w:p>
    <w:p w:rsidR="008467E4" w:rsidRDefault="00704534" w:rsidP="005F74C4">
      <w:pPr>
        <w:spacing w:after="0"/>
        <w:rPr>
          <w:lang w:val="en-US"/>
        </w:rPr>
      </w:pPr>
      <w:r>
        <w:rPr>
          <w:lang w:val="en-US"/>
        </w:rPr>
        <w:t>The actual dividend paid out by ONGC</w:t>
      </w:r>
      <w:r w:rsidR="00673C8B">
        <w:rPr>
          <w:lang w:val="en-US"/>
        </w:rPr>
        <w:t>, over the years from 2000-01,</w:t>
      </w:r>
      <w:r>
        <w:rPr>
          <w:lang w:val="en-US"/>
        </w:rPr>
        <w:t>is as below;</w:t>
      </w:r>
    </w:p>
    <w:p w:rsidR="003931CB" w:rsidRDefault="003931CB" w:rsidP="005F74C4">
      <w:pPr>
        <w:spacing w:after="0"/>
        <w:rPr>
          <w:lang w:val="en-US"/>
        </w:rPr>
      </w:pPr>
    </w:p>
    <w:tbl>
      <w:tblPr>
        <w:tblStyle w:val="TableGrid"/>
        <w:tblW w:w="0" w:type="auto"/>
        <w:tblInd w:w="1215" w:type="dxa"/>
        <w:tblLook w:val="04A0"/>
      </w:tblPr>
      <w:tblGrid>
        <w:gridCol w:w="1530"/>
        <w:gridCol w:w="1350"/>
        <w:gridCol w:w="1890"/>
        <w:gridCol w:w="1233"/>
      </w:tblGrid>
      <w:tr w:rsidR="00D638B0" w:rsidTr="00D638B0">
        <w:tc>
          <w:tcPr>
            <w:tcW w:w="1530" w:type="dxa"/>
          </w:tcPr>
          <w:p w:rsidR="00D638B0" w:rsidRDefault="00D638B0" w:rsidP="008467E4">
            <w:pPr>
              <w:jc w:val="center"/>
              <w:rPr>
                <w:lang w:val="en-US"/>
              </w:rPr>
            </w:pPr>
            <w:r>
              <w:rPr>
                <w:lang w:val="en-US"/>
              </w:rPr>
              <w:t>Financial Year</w:t>
            </w:r>
          </w:p>
        </w:tc>
        <w:tc>
          <w:tcPr>
            <w:tcW w:w="1350" w:type="dxa"/>
          </w:tcPr>
          <w:p w:rsidR="00D638B0" w:rsidRDefault="00D638B0" w:rsidP="008467E4">
            <w:pPr>
              <w:jc w:val="center"/>
              <w:rPr>
                <w:lang w:val="en-US"/>
              </w:rPr>
            </w:pPr>
            <w:r>
              <w:rPr>
                <w:lang w:val="en-US"/>
              </w:rPr>
              <w:t>Dividend Rate –in %</w:t>
            </w:r>
          </w:p>
        </w:tc>
        <w:tc>
          <w:tcPr>
            <w:tcW w:w="1890" w:type="dxa"/>
          </w:tcPr>
          <w:p w:rsidR="00D638B0" w:rsidRDefault="00D638B0" w:rsidP="008467E4">
            <w:pPr>
              <w:jc w:val="center"/>
              <w:rPr>
                <w:lang w:val="en-US"/>
              </w:rPr>
            </w:pPr>
            <w:r>
              <w:rPr>
                <w:lang w:val="en-US"/>
              </w:rPr>
              <w:t>Dividend – Rs Mil</w:t>
            </w:r>
          </w:p>
        </w:tc>
        <w:tc>
          <w:tcPr>
            <w:tcW w:w="1233" w:type="dxa"/>
          </w:tcPr>
          <w:p w:rsidR="00D638B0" w:rsidRDefault="00D638B0" w:rsidP="008467E4">
            <w:pPr>
              <w:jc w:val="center"/>
              <w:rPr>
                <w:lang w:val="en-US"/>
              </w:rPr>
            </w:pPr>
            <w:r>
              <w:rPr>
                <w:lang w:val="en-US"/>
              </w:rPr>
              <w:t>Dividend Payout Ratio*- %</w:t>
            </w:r>
          </w:p>
        </w:tc>
      </w:tr>
      <w:tr w:rsidR="00D638B0" w:rsidTr="00D638B0">
        <w:tc>
          <w:tcPr>
            <w:tcW w:w="1530" w:type="dxa"/>
          </w:tcPr>
          <w:p w:rsidR="00D638B0" w:rsidRDefault="00D638B0" w:rsidP="006C5724">
            <w:pPr>
              <w:jc w:val="center"/>
              <w:rPr>
                <w:lang w:val="en-US"/>
              </w:rPr>
            </w:pPr>
            <w:r>
              <w:rPr>
                <w:lang w:val="en-US"/>
              </w:rPr>
              <w:t>2000-01</w:t>
            </w:r>
          </w:p>
        </w:tc>
        <w:tc>
          <w:tcPr>
            <w:tcW w:w="1350" w:type="dxa"/>
          </w:tcPr>
          <w:p w:rsidR="00D638B0" w:rsidRDefault="00D638B0" w:rsidP="006C5724">
            <w:pPr>
              <w:jc w:val="center"/>
              <w:rPr>
                <w:lang w:val="en-US"/>
              </w:rPr>
            </w:pPr>
            <w:r>
              <w:rPr>
                <w:lang w:val="en-US"/>
              </w:rPr>
              <w:t>110</w:t>
            </w:r>
          </w:p>
        </w:tc>
        <w:tc>
          <w:tcPr>
            <w:tcW w:w="1890" w:type="dxa"/>
          </w:tcPr>
          <w:p w:rsidR="00D638B0" w:rsidRDefault="00D638B0" w:rsidP="006C5724">
            <w:pPr>
              <w:jc w:val="center"/>
              <w:rPr>
                <w:lang w:val="en-US"/>
              </w:rPr>
            </w:pPr>
            <w:r>
              <w:rPr>
                <w:lang w:val="en-US"/>
              </w:rPr>
              <w:t>15,685</w:t>
            </w:r>
          </w:p>
        </w:tc>
        <w:tc>
          <w:tcPr>
            <w:tcW w:w="1233" w:type="dxa"/>
          </w:tcPr>
          <w:p w:rsidR="00D638B0" w:rsidRDefault="00D638B0" w:rsidP="006C5724">
            <w:pPr>
              <w:jc w:val="center"/>
              <w:rPr>
                <w:lang w:val="en-US"/>
              </w:rPr>
            </w:pPr>
            <w:r>
              <w:rPr>
                <w:lang w:val="en-US"/>
              </w:rPr>
              <w:t>30</w:t>
            </w:r>
          </w:p>
        </w:tc>
      </w:tr>
      <w:tr w:rsidR="00D638B0" w:rsidTr="00D638B0">
        <w:tc>
          <w:tcPr>
            <w:tcW w:w="1530" w:type="dxa"/>
          </w:tcPr>
          <w:p w:rsidR="00D638B0" w:rsidRDefault="00D638B0" w:rsidP="006C5724">
            <w:pPr>
              <w:jc w:val="center"/>
              <w:rPr>
                <w:lang w:val="en-US"/>
              </w:rPr>
            </w:pPr>
            <w:r>
              <w:rPr>
                <w:lang w:val="en-US"/>
              </w:rPr>
              <w:t>2001-02</w:t>
            </w:r>
          </w:p>
        </w:tc>
        <w:tc>
          <w:tcPr>
            <w:tcW w:w="1350" w:type="dxa"/>
          </w:tcPr>
          <w:p w:rsidR="00D638B0" w:rsidRDefault="00D638B0" w:rsidP="006C5724">
            <w:pPr>
              <w:jc w:val="center"/>
              <w:rPr>
                <w:lang w:val="en-US"/>
              </w:rPr>
            </w:pPr>
            <w:r>
              <w:rPr>
                <w:lang w:val="en-US"/>
              </w:rPr>
              <w:t>140</w:t>
            </w:r>
          </w:p>
        </w:tc>
        <w:tc>
          <w:tcPr>
            <w:tcW w:w="1890" w:type="dxa"/>
          </w:tcPr>
          <w:p w:rsidR="00D638B0" w:rsidRDefault="00D638B0" w:rsidP="006C5724">
            <w:pPr>
              <w:jc w:val="center"/>
              <w:rPr>
                <w:lang w:val="en-US"/>
              </w:rPr>
            </w:pPr>
            <w:r>
              <w:rPr>
                <w:lang w:val="en-US"/>
              </w:rPr>
              <w:t>19,963</w:t>
            </w:r>
          </w:p>
        </w:tc>
        <w:tc>
          <w:tcPr>
            <w:tcW w:w="1233" w:type="dxa"/>
          </w:tcPr>
          <w:p w:rsidR="00D638B0" w:rsidRDefault="00D638B0" w:rsidP="006C5724">
            <w:pPr>
              <w:jc w:val="center"/>
              <w:rPr>
                <w:lang w:val="en-US"/>
              </w:rPr>
            </w:pPr>
            <w:r>
              <w:rPr>
                <w:lang w:val="en-US"/>
              </w:rPr>
              <w:t>32.2</w:t>
            </w:r>
          </w:p>
        </w:tc>
      </w:tr>
      <w:tr w:rsidR="00D638B0" w:rsidTr="00D638B0">
        <w:tc>
          <w:tcPr>
            <w:tcW w:w="1530" w:type="dxa"/>
          </w:tcPr>
          <w:p w:rsidR="00D638B0" w:rsidRDefault="00D638B0" w:rsidP="006C5724">
            <w:pPr>
              <w:jc w:val="center"/>
              <w:rPr>
                <w:lang w:val="en-US"/>
              </w:rPr>
            </w:pPr>
            <w:r>
              <w:rPr>
                <w:lang w:val="en-US"/>
              </w:rPr>
              <w:t>2002-03</w:t>
            </w:r>
          </w:p>
        </w:tc>
        <w:tc>
          <w:tcPr>
            <w:tcW w:w="1350" w:type="dxa"/>
          </w:tcPr>
          <w:p w:rsidR="00D638B0" w:rsidRDefault="00D638B0" w:rsidP="006C5724">
            <w:pPr>
              <w:jc w:val="center"/>
              <w:rPr>
                <w:lang w:val="en-US"/>
              </w:rPr>
            </w:pPr>
            <w:r>
              <w:rPr>
                <w:lang w:val="en-US"/>
              </w:rPr>
              <w:t>300</w:t>
            </w:r>
          </w:p>
        </w:tc>
        <w:tc>
          <w:tcPr>
            <w:tcW w:w="1890" w:type="dxa"/>
          </w:tcPr>
          <w:p w:rsidR="00D638B0" w:rsidRDefault="00D638B0" w:rsidP="006C5724">
            <w:pPr>
              <w:jc w:val="center"/>
              <w:rPr>
                <w:lang w:val="en-US"/>
              </w:rPr>
            </w:pPr>
            <w:r>
              <w:rPr>
                <w:lang w:val="en-US"/>
              </w:rPr>
              <w:t>42,778</w:t>
            </w:r>
          </w:p>
        </w:tc>
        <w:tc>
          <w:tcPr>
            <w:tcW w:w="1233" w:type="dxa"/>
          </w:tcPr>
          <w:p w:rsidR="00D638B0" w:rsidRDefault="00D638B0" w:rsidP="006C5724">
            <w:pPr>
              <w:jc w:val="center"/>
              <w:rPr>
                <w:lang w:val="en-US"/>
              </w:rPr>
            </w:pPr>
            <w:r>
              <w:rPr>
                <w:lang w:val="en-US"/>
              </w:rPr>
              <w:t>40.6</w:t>
            </w:r>
          </w:p>
        </w:tc>
      </w:tr>
      <w:tr w:rsidR="00D638B0" w:rsidTr="00D638B0">
        <w:tc>
          <w:tcPr>
            <w:tcW w:w="1530" w:type="dxa"/>
          </w:tcPr>
          <w:p w:rsidR="00D638B0" w:rsidRDefault="00D638B0" w:rsidP="006C5724">
            <w:pPr>
              <w:jc w:val="center"/>
              <w:rPr>
                <w:lang w:val="en-US"/>
              </w:rPr>
            </w:pPr>
            <w:r>
              <w:rPr>
                <w:lang w:val="en-US"/>
              </w:rPr>
              <w:t>2003-04</w:t>
            </w:r>
          </w:p>
        </w:tc>
        <w:tc>
          <w:tcPr>
            <w:tcW w:w="1350" w:type="dxa"/>
          </w:tcPr>
          <w:p w:rsidR="00D638B0" w:rsidRDefault="00D638B0" w:rsidP="006C5724">
            <w:pPr>
              <w:jc w:val="center"/>
              <w:rPr>
                <w:lang w:val="en-US"/>
              </w:rPr>
            </w:pPr>
            <w:r>
              <w:rPr>
                <w:lang w:val="en-US"/>
              </w:rPr>
              <w:t>240</w:t>
            </w:r>
          </w:p>
        </w:tc>
        <w:tc>
          <w:tcPr>
            <w:tcW w:w="1890" w:type="dxa"/>
          </w:tcPr>
          <w:p w:rsidR="00D638B0" w:rsidRDefault="00D638B0" w:rsidP="006C5724">
            <w:pPr>
              <w:jc w:val="center"/>
              <w:rPr>
                <w:lang w:val="en-US"/>
              </w:rPr>
            </w:pPr>
            <w:r>
              <w:rPr>
                <w:lang w:val="en-US"/>
              </w:rPr>
              <w:t>34,222</w:t>
            </w:r>
          </w:p>
        </w:tc>
        <w:tc>
          <w:tcPr>
            <w:tcW w:w="1233" w:type="dxa"/>
          </w:tcPr>
          <w:p w:rsidR="00D638B0" w:rsidRDefault="00D638B0" w:rsidP="006C5724">
            <w:pPr>
              <w:jc w:val="center"/>
              <w:rPr>
                <w:lang w:val="en-US"/>
              </w:rPr>
            </w:pPr>
            <w:r>
              <w:rPr>
                <w:lang w:val="en-US"/>
              </w:rPr>
              <w:t>39.5</w:t>
            </w:r>
          </w:p>
        </w:tc>
      </w:tr>
      <w:tr w:rsidR="00D638B0" w:rsidTr="00D638B0">
        <w:tc>
          <w:tcPr>
            <w:tcW w:w="1530" w:type="dxa"/>
          </w:tcPr>
          <w:p w:rsidR="00D638B0" w:rsidRDefault="00D638B0" w:rsidP="006C5724">
            <w:pPr>
              <w:jc w:val="center"/>
              <w:rPr>
                <w:lang w:val="en-US"/>
              </w:rPr>
            </w:pPr>
            <w:r>
              <w:rPr>
                <w:lang w:val="en-US"/>
              </w:rPr>
              <w:t>2004-05</w:t>
            </w:r>
          </w:p>
        </w:tc>
        <w:tc>
          <w:tcPr>
            <w:tcW w:w="1350" w:type="dxa"/>
          </w:tcPr>
          <w:p w:rsidR="00D638B0" w:rsidRDefault="00D638B0" w:rsidP="006C5724">
            <w:pPr>
              <w:jc w:val="center"/>
              <w:rPr>
                <w:lang w:val="en-US"/>
              </w:rPr>
            </w:pPr>
            <w:r>
              <w:rPr>
                <w:lang w:val="en-US"/>
              </w:rPr>
              <w:t>400</w:t>
            </w:r>
          </w:p>
        </w:tc>
        <w:tc>
          <w:tcPr>
            <w:tcW w:w="1890" w:type="dxa"/>
          </w:tcPr>
          <w:p w:rsidR="00D638B0" w:rsidRDefault="00D638B0" w:rsidP="006C5724">
            <w:pPr>
              <w:jc w:val="center"/>
              <w:rPr>
                <w:lang w:val="en-US"/>
              </w:rPr>
            </w:pPr>
            <w:r>
              <w:rPr>
                <w:lang w:val="en-US"/>
              </w:rPr>
              <w:t>57037</w:t>
            </w:r>
          </w:p>
        </w:tc>
        <w:tc>
          <w:tcPr>
            <w:tcW w:w="1233" w:type="dxa"/>
          </w:tcPr>
          <w:p w:rsidR="00D638B0" w:rsidRDefault="00D638B0" w:rsidP="006C5724">
            <w:pPr>
              <w:jc w:val="center"/>
              <w:rPr>
                <w:lang w:val="en-US"/>
              </w:rPr>
            </w:pPr>
            <w:r>
              <w:rPr>
                <w:lang w:val="en-US"/>
              </w:rPr>
              <w:t>43.9</w:t>
            </w:r>
          </w:p>
        </w:tc>
      </w:tr>
      <w:tr w:rsidR="00D638B0" w:rsidTr="00D638B0">
        <w:tc>
          <w:tcPr>
            <w:tcW w:w="1530" w:type="dxa"/>
          </w:tcPr>
          <w:p w:rsidR="00D638B0" w:rsidRDefault="00D638B0" w:rsidP="006C5724">
            <w:pPr>
              <w:jc w:val="center"/>
              <w:rPr>
                <w:lang w:val="en-US"/>
              </w:rPr>
            </w:pPr>
            <w:r>
              <w:rPr>
                <w:lang w:val="en-US"/>
              </w:rPr>
              <w:t>2005-06</w:t>
            </w:r>
          </w:p>
        </w:tc>
        <w:tc>
          <w:tcPr>
            <w:tcW w:w="1350" w:type="dxa"/>
          </w:tcPr>
          <w:p w:rsidR="00D638B0" w:rsidRDefault="00D638B0" w:rsidP="006C5724">
            <w:pPr>
              <w:jc w:val="center"/>
              <w:rPr>
                <w:lang w:val="en-US"/>
              </w:rPr>
            </w:pPr>
            <w:r>
              <w:rPr>
                <w:lang w:val="en-US"/>
              </w:rPr>
              <w:t>450</w:t>
            </w:r>
          </w:p>
        </w:tc>
        <w:tc>
          <w:tcPr>
            <w:tcW w:w="1890" w:type="dxa"/>
          </w:tcPr>
          <w:p w:rsidR="00D638B0" w:rsidRDefault="00D638B0" w:rsidP="006C5724">
            <w:pPr>
              <w:jc w:val="center"/>
              <w:rPr>
                <w:lang w:val="en-US"/>
              </w:rPr>
            </w:pPr>
            <w:r>
              <w:rPr>
                <w:lang w:val="en-US"/>
              </w:rPr>
              <w:t>64,167</w:t>
            </w:r>
          </w:p>
        </w:tc>
        <w:tc>
          <w:tcPr>
            <w:tcW w:w="1233" w:type="dxa"/>
          </w:tcPr>
          <w:p w:rsidR="00D638B0" w:rsidRDefault="00D638B0" w:rsidP="006C5724">
            <w:pPr>
              <w:jc w:val="center"/>
              <w:rPr>
                <w:lang w:val="en-US"/>
              </w:rPr>
            </w:pPr>
            <w:r>
              <w:rPr>
                <w:lang w:val="en-US"/>
              </w:rPr>
              <w:t>44.47</w:t>
            </w:r>
          </w:p>
        </w:tc>
      </w:tr>
      <w:tr w:rsidR="00D638B0" w:rsidTr="00D638B0">
        <w:tc>
          <w:tcPr>
            <w:tcW w:w="1530" w:type="dxa"/>
          </w:tcPr>
          <w:p w:rsidR="00D638B0" w:rsidRDefault="00D638B0" w:rsidP="006C5724">
            <w:pPr>
              <w:jc w:val="center"/>
              <w:rPr>
                <w:lang w:val="en-US"/>
              </w:rPr>
            </w:pPr>
            <w:r>
              <w:rPr>
                <w:lang w:val="en-US"/>
              </w:rPr>
              <w:lastRenderedPageBreak/>
              <w:t>2006-07</w:t>
            </w:r>
          </w:p>
        </w:tc>
        <w:tc>
          <w:tcPr>
            <w:tcW w:w="1350" w:type="dxa"/>
          </w:tcPr>
          <w:p w:rsidR="00D638B0" w:rsidRDefault="00D638B0" w:rsidP="006C5724">
            <w:pPr>
              <w:jc w:val="center"/>
              <w:rPr>
                <w:lang w:val="en-US"/>
              </w:rPr>
            </w:pPr>
            <w:r>
              <w:rPr>
                <w:lang w:val="en-US"/>
              </w:rPr>
              <w:t>310</w:t>
            </w:r>
          </w:p>
        </w:tc>
        <w:tc>
          <w:tcPr>
            <w:tcW w:w="1890" w:type="dxa"/>
          </w:tcPr>
          <w:p w:rsidR="00D638B0" w:rsidRDefault="00D638B0" w:rsidP="006C5724">
            <w:pPr>
              <w:jc w:val="center"/>
              <w:rPr>
                <w:lang w:val="en-US"/>
              </w:rPr>
            </w:pPr>
            <w:r>
              <w:rPr>
                <w:lang w:val="en-US"/>
              </w:rPr>
              <w:t>66,305</w:t>
            </w:r>
          </w:p>
        </w:tc>
        <w:tc>
          <w:tcPr>
            <w:tcW w:w="1233" w:type="dxa"/>
          </w:tcPr>
          <w:p w:rsidR="00D638B0" w:rsidRDefault="00D638B0" w:rsidP="006C5724">
            <w:pPr>
              <w:jc w:val="center"/>
              <w:rPr>
                <w:lang w:val="en-US"/>
              </w:rPr>
            </w:pPr>
            <w:r>
              <w:rPr>
                <w:lang w:val="en-US"/>
              </w:rPr>
              <w:t>42.39</w:t>
            </w:r>
          </w:p>
        </w:tc>
      </w:tr>
      <w:tr w:rsidR="00D638B0" w:rsidTr="00D638B0">
        <w:tc>
          <w:tcPr>
            <w:tcW w:w="1530" w:type="dxa"/>
          </w:tcPr>
          <w:p w:rsidR="00D638B0" w:rsidRDefault="00D638B0" w:rsidP="006C5724">
            <w:pPr>
              <w:jc w:val="center"/>
              <w:rPr>
                <w:lang w:val="en-US"/>
              </w:rPr>
            </w:pPr>
            <w:r>
              <w:rPr>
                <w:lang w:val="en-US"/>
              </w:rPr>
              <w:t>2008-09</w:t>
            </w:r>
          </w:p>
        </w:tc>
        <w:tc>
          <w:tcPr>
            <w:tcW w:w="1350" w:type="dxa"/>
          </w:tcPr>
          <w:p w:rsidR="00D638B0" w:rsidRDefault="00D638B0" w:rsidP="006C5724">
            <w:pPr>
              <w:jc w:val="center"/>
              <w:rPr>
                <w:lang w:val="en-US"/>
              </w:rPr>
            </w:pPr>
            <w:r>
              <w:rPr>
                <w:lang w:val="en-US"/>
              </w:rPr>
              <w:t>320</w:t>
            </w:r>
          </w:p>
        </w:tc>
        <w:tc>
          <w:tcPr>
            <w:tcW w:w="1890" w:type="dxa"/>
          </w:tcPr>
          <w:p w:rsidR="00D638B0" w:rsidRDefault="00D638B0" w:rsidP="006C5724">
            <w:pPr>
              <w:jc w:val="center"/>
              <w:rPr>
                <w:lang w:val="en-US"/>
              </w:rPr>
            </w:pPr>
            <w:r>
              <w:rPr>
                <w:lang w:val="en-US"/>
              </w:rPr>
              <w:t>68,444</w:t>
            </w:r>
          </w:p>
        </w:tc>
        <w:tc>
          <w:tcPr>
            <w:tcW w:w="1233" w:type="dxa"/>
          </w:tcPr>
          <w:p w:rsidR="00D638B0" w:rsidRDefault="00D638B0" w:rsidP="006C5724">
            <w:pPr>
              <w:jc w:val="center"/>
              <w:rPr>
                <w:lang w:val="en-US"/>
              </w:rPr>
            </w:pPr>
            <w:r>
              <w:rPr>
                <w:lang w:val="en-US"/>
              </w:rPr>
              <w:t>40.98</w:t>
            </w:r>
          </w:p>
        </w:tc>
      </w:tr>
      <w:tr w:rsidR="00D638B0" w:rsidTr="00D638B0">
        <w:tc>
          <w:tcPr>
            <w:tcW w:w="1530" w:type="dxa"/>
          </w:tcPr>
          <w:p w:rsidR="00D638B0" w:rsidRDefault="00D638B0" w:rsidP="006C5724">
            <w:pPr>
              <w:jc w:val="center"/>
              <w:rPr>
                <w:lang w:val="en-US"/>
              </w:rPr>
            </w:pPr>
            <w:r>
              <w:rPr>
                <w:lang w:val="en-US"/>
              </w:rPr>
              <w:t>2009-10</w:t>
            </w:r>
          </w:p>
        </w:tc>
        <w:tc>
          <w:tcPr>
            <w:tcW w:w="1350" w:type="dxa"/>
          </w:tcPr>
          <w:p w:rsidR="00D638B0" w:rsidRDefault="00D638B0" w:rsidP="006C5724">
            <w:pPr>
              <w:jc w:val="center"/>
              <w:rPr>
                <w:lang w:val="en-US"/>
              </w:rPr>
            </w:pPr>
            <w:r>
              <w:rPr>
                <w:lang w:val="en-US"/>
              </w:rPr>
              <w:t>320</w:t>
            </w:r>
          </w:p>
        </w:tc>
        <w:tc>
          <w:tcPr>
            <w:tcW w:w="1890" w:type="dxa"/>
          </w:tcPr>
          <w:p w:rsidR="00D638B0" w:rsidRDefault="00D638B0" w:rsidP="006C5724">
            <w:pPr>
              <w:jc w:val="center"/>
              <w:rPr>
                <w:lang w:val="en-US"/>
              </w:rPr>
            </w:pPr>
            <w:r>
              <w:rPr>
                <w:lang w:val="en-US"/>
              </w:rPr>
              <w:t>68,444</w:t>
            </w:r>
          </w:p>
        </w:tc>
        <w:tc>
          <w:tcPr>
            <w:tcW w:w="1233" w:type="dxa"/>
          </w:tcPr>
          <w:p w:rsidR="00D638B0" w:rsidRDefault="00D638B0" w:rsidP="006C5724">
            <w:pPr>
              <w:jc w:val="center"/>
              <w:rPr>
                <w:lang w:val="en-US"/>
              </w:rPr>
            </w:pPr>
            <w:r>
              <w:rPr>
                <w:lang w:val="en-US"/>
              </w:rPr>
              <w:t>42.44</w:t>
            </w:r>
          </w:p>
        </w:tc>
      </w:tr>
      <w:tr w:rsidR="00D638B0" w:rsidTr="00D638B0">
        <w:tc>
          <w:tcPr>
            <w:tcW w:w="1530" w:type="dxa"/>
          </w:tcPr>
          <w:p w:rsidR="00D638B0" w:rsidRDefault="00D638B0" w:rsidP="006C5724">
            <w:pPr>
              <w:jc w:val="center"/>
              <w:rPr>
                <w:lang w:val="en-US"/>
              </w:rPr>
            </w:pPr>
            <w:r>
              <w:rPr>
                <w:lang w:val="en-US"/>
              </w:rPr>
              <w:t>2009-10</w:t>
            </w:r>
          </w:p>
        </w:tc>
        <w:tc>
          <w:tcPr>
            <w:tcW w:w="1350" w:type="dxa"/>
          </w:tcPr>
          <w:p w:rsidR="00D638B0" w:rsidRDefault="00D638B0" w:rsidP="006C5724">
            <w:pPr>
              <w:jc w:val="center"/>
              <w:rPr>
                <w:lang w:val="en-US"/>
              </w:rPr>
            </w:pPr>
            <w:r>
              <w:rPr>
                <w:lang w:val="en-US"/>
              </w:rPr>
              <w:t>330</w:t>
            </w:r>
          </w:p>
        </w:tc>
        <w:tc>
          <w:tcPr>
            <w:tcW w:w="1890" w:type="dxa"/>
          </w:tcPr>
          <w:p w:rsidR="00D638B0" w:rsidRDefault="00D638B0" w:rsidP="006C5724">
            <w:pPr>
              <w:jc w:val="center"/>
              <w:rPr>
                <w:lang w:val="en-US"/>
              </w:rPr>
            </w:pPr>
            <w:r>
              <w:rPr>
                <w:lang w:val="en-US"/>
              </w:rPr>
              <w:t>70,583</w:t>
            </w:r>
          </w:p>
        </w:tc>
        <w:tc>
          <w:tcPr>
            <w:tcW w:w="1233" w:type="dxa"/>
          </w:tcPr>
          <w:p w:rsidR="00D638B0" w:rsidRDefault="00D638B0" w:rsidP="006C5724">
            <w:pPr>
              <w:jc w:val="center"/>
              <w:rPr>
                <w:lang w:val="en-US"/>
              </w:rPr>
            </w:pPr>
            <w:r>
              <w:rPr>
                <w:lang w:val="en-US"/>
              </w:rPr>
              <w:t>42.09</w:t>
            </w:r>
          </w:p>
        </w:tc>
      </w:tr>
      <w:tr w:rsidR="00D638B0" w:rsidTr="00D638B0">
        <w:tc>
          <w:tcPr>
            <w:tcW w:w="1530" w:type="dxa"/>
          </w:tcPr>
          <w:p w:rsidR="00D638B0" w:rsidRDefault="00D638B0" w:rsidP="006C5724">
            <w:pPr>
              <w:jc w:val="center"/>
              <w:rPr>
                <w:lang w:val="en-US"/>
              </w:rPr>
            </w:pPr>
            <w:r>
              <w:rPr>
                <w:lang w:val="en-US"/>
              </w:rPr>
              <w:t>2010-11</w:t>
            </w:r>
          </w:p>
        </w:tc>
        <w:tc>
          <w:tcPr>
            <w:tcW w:w="1350" w:type="dxa"/>
          </w:tcPr>
          <w:p w:rsidR="00D638B0" w:rsidRDefault="00D638B0" w:rsidP="006C5724">
            <w:pPr>
              <w:jc w:val="center"/>
              <w:rPr>
                <w:lang w:val="en-US"/>
              </w:rPr>
            </w:pPr>
            <w:r>
              <w:rPr>
                <w:lang w:val="en-US"/>
              </w:rPr>
              <w:t>175</w:t>
            </w:r>
          </w:p>
        </w:tc>
        <w:tc>
          <w:tcPr>
            <w:tcW w:w="1890" w:type="dxa"/>
          </w:tcPr>
          <w:p w:rsidR="00D638B0" w:rsidRDefault="00D638B0" w:rsidP="006C5724">
            <w:pPr>
              <w:jc w:val="center"/>
              <w:rPr>
                <w:lang w:val="en-US"/>
              </w:rPr>
            </w:pPr>
            <w:r>
              <w:rPr>
                <w:lang w:val="en-US"/>
              </w:rPr>
              <w:t>74,861</w:t>
            </w:r>
          </w:p>
        </w:tc>
        <w:tc>
          <w:tcPr>
            <w:tcW w:w="1233" w:type="dxa"/>
          </w:tcPr>
          <w:p w:rsidR="00D638B0" w:rsidRDefault="00D638B0" w:rsidP="006C5724">
            <w:pPr>
              <w:jc w:val="center"/>
              <w:rPr>
                <w:lang w:val="en-US"/>
              </w:rPr>
            </w:pPr>
            <w:r>
              <w:rPr>
                <w:lang w:val="en-US"/>
              </w:rPr>
              <w:t>39.56</w:t>
            </w:r>
          </w:p>
        </w:tc>
      </w:tr>
    </w:tbl>
    <w:p w:rsidR="00704534" w:rsidRDefault="00704534" w:rsidP="005F74C4">
      <w:pPr>
        <w:spacing w:after="0"/>
        <w:rPr>
          <w:lang w:val="en-US"/>
        </w:rPr>
      </w:pPr>
    </w:p>
    <w:p w:rsidR="008467E4" w:rsidRDefault="008467E4" w:rsidP="005F74C4">
      <w:pPr>
        <w:spacing w:after="0"/>
        <w:rPr>
          <w:rFonts w:ascii="Tahoma" w:hAnsi="Tahoma" w:cs="Tahoma"/>
          <w:color w:val="000000"/>
          <w:sz w:val="17"/>
          <w:szCs w:val="17"/>
          <w:shd w:val="clear" w:color="auto" w:fill="FFFFFF"/>
        </w:rPr>
      </w:pPr>
      <w:r>
        <w:rPr>
          <w:lang w:val="en-US"/>
        </w:rPr>
        <w:t>*</w:t>
      </w:r>
      <w:r>
        <w:rPr>
          <w:rFonts w:ascii="Tahoma" w:hAnsi="Tahoma" w:cs="Tahoma"/>
          <w:color w:val="000000"/>
          <w:sz w:val="17"/>
          <w:szCs w:val="17"/>
          <w:shd w:val="clear" w:color="auto" w:fill="FFFFFF"/>
        </w:rPr>
        <w:t>is the ratio of the dividend amount (computed without considering dividend tax) to the net profit in any given fiscal year.</w:t>
      </w:r>
    </w:p>
    <w:p w:rsidR="00704534" w:rsidRDefault="00704534" w:rsidP="005F74C4">
      <w:pPr>
        <w:spacing w:after="0"/>
        <w:rPr>
          <w:lang w:val="en-US"/>
        </w:rPr>
      </w:pPr>
      <w:r>
        <w:rPr>
          <w:rFonts w:ascii="Tahoma" w:hAnsi="Tahoma" w:cs="Tahoma"/>
          <w:color w:val="000000"/>
          <w:sz w:val="17"/>
          <w:szCs w:val="17"/>
          <w:shd w:val="clear" w:color="auto" w:fill="FFFFFF"/>
        </w:rPr>
        <w:t xml:space="preserve">Source: ONGC </w:t>
      </w:r>
      <w:r w:rsidRPr="00704534">
        <w:rPr>
          <w:rFonts w:ascii="Tahoma" w:hAnsi="Tahoma" w:cs="Tahoma"/>
          <w:color w:val="000000"/>
          <w:sz w:val="17"/>
          <w:szCs w:val="17"/>
          <w:shd w:val="clear" w:color="auto" w:fill="FFFFFF"/>
        </w:rPr>
        <w:t xml:space="preserve">Website </w:t>
      </w:r>
      <w:hyperlink r:id="rId11" w:history="1">
        <w:r w:rsidRPr="00704534">
          <w:rPr>
            <w:rStyle w:val="Hyperlink"/>
            <w:rFonts w:ascii="Tahoma" w:hAnsi="Tahoma" w:cs="Tahoma"/>
            <w:sz w:val="17"/>
            <w:szCs w:val="17"/>
          </w:rPr>
          <w:t>http://www.ongcindia.com/invest_div_paid.asp</w:t>
        </w:r>
      </w:hyperlink>
    </w:p>
    <w:p w:rsidR="008467E4" w:rsidRDefault="008467E4" w:rsidP="005F74C4">
      <w:pPr>
        <w:spacing w:after="0"/>
        <w:rPr>
          <w:lang w:val="en-US"/>
        </w:rPr>
      </w:pPr>
    </w:p>
    <w:p w:rsidR="00D1314F" w:rsidRPr="00D1314F" w:rsidRDefault="00704534" w:rsidP="00D1314F">
      <w:pPr>
        <w:spacing w:after="0"/>
        <w:rPr>
          <w:lang w:val="en-US"/>
        </w:rPr>
      </w:pPr>
      <w:r>
        <w:rPr>
          <w:lang w:val="en-US"/>
        </w:rPr>
        <w:t>The actual dividend payout is considerably in excess of the stated dividend policy of ONGC and h</w:t>
      </w:r>
      <w:r w:rsidR="001F19CE">
        <w:rPr>
          <w:lang w:val="en-US"/>
        </w:rPr>
        <w:t>a</w:t>
      </w:r>
      <w:r>
        <w:rPr>
          <w:lang w:val="en-US"/>
        </w:rPr>
        <w:t>s been so for every year from 2001-02 onwards! This fact is even acknowledged by ONGC in a statement on their website that reads as follows; “T</w:t>
      </w:r>
      <w:r w:rsidR="00D1314F" w:rsidRPr="00D1314F">
        <w:rPr>
          <w:lang w:val="en-US"/>
        </w:rPr>
        <w:t>he amounts paid as dividends in the past are not necessarily indicative of our dividend policy in the future</w:t>
      </w:r>
      <w:r>
        <w:rPr>
          <w:lang w:val="en-US"/>
        </w:rPr>
        <w:t>”</w:t>
      </w:r>
      <w:r w:rsidR="00D1314F">
        <w:rPr>
          <w:rStyle w:val="FootnoteReference"/>
          <w:lang w:val="en-US"/>
        </w:rPr>
        <w:footnoteReference w:id="72"/>
      </w:r>
      <w:r w:rsidR="00D1314F" w:rsidRPr="00D1314F">
        <w:rPr>
          <w:lang w:val="en-US"/>
        </w:rPr>
        <w:t>.</w:t>
      </w:r>
    </w:p>
    <w:p w:rsidR="008467E4" w:rsidRDefault="008467E4" w:rsidP="005F74C4">
      <w:pPr>
        <w:spacing w:after="0"/>
        <w:rPr>
          <w:lang w:val="en-US"/>
        </w:rPr>
      </w:pPr>
    </w:p>
    <w:p w:rsidR="00D638B0" w:rsidRPr="005F74C4" w:rsidRDefault="00D638B0" w:rsidP="00D638B0">
      <w:pPr>
        <w:spacing w:after="0"/>
        <w:rPr>
          <w:lang w:val="en-US"/>
        </w:rPr>
      </w:pPr>
      <w:r>
        <w:rPr>
          <w:lang w:val="en-US"/>
        </w:rPr>
        <w:t>The liberal dividend payout by ONGC has also to be seen in the context of the high</w:t>
      </w:r>
      <w:r w:rsidR="006C38AA">
        <w:rPr>
          <w:lang w:val="en-US"/>
        </w:rPr>
        <w:t xml:space="preserve"> level of </w:t>
      </w:r>
      <w:r>
        <w:rPr>
          <w:lang w:val="en-US"/>
        </w:rPr>
        <w:t xml:space="preserve"> capital expenditure</w:t>
      </w:r>
      <w:r w:rsidR="006C38AA">
        <w:rPr>
          <w:lang w:val="en-US"/>
        </w:rPr>
        <w:t xml:space="preserve"> </w:t>
      </w:r>
      <w:r>
        <w:rPr>
          <w:lang w:val="en-US"/>
        </w:rPr>
        <w:t xml:space="preserve"> of ONGC – Rs 282,755 mil ( F</w:t>
      </w:r>
      <w:r w:rsidR="006C38AA">
        <w:rPr>
          <w:lang w:val="en-US"/>
        </w:rPr>
        <w:t>Y</w:t>
      </w:r>
      <w:r>
        <w:rPr>
          <w:lang w:val="en-US"/>
        </w:rPr>
        <w:t xml:space="preserve"> 10-11), Rs 235,591 mil( FY 09-10)</w:t>
      </w:r>
      <w:r>
        <w:rPr>
          <w:rStyle w:val="FootnoteReference"/>
          <w:lang w:val="en-US"/>
        </w:rPr>
        <w:footnoteReference w:id="73"/>
      </w:r>
      <w:r>
        <w:rPr>
          <w:lang w:val="en-US"/>
        </w:rPr>
        <w:t xml:space="preserve"> and raises the question whether conserving resources for internal growth would have been a better option long term option for the ONGC shareholders.  </w:t>
      </w:r>
      <w:r w:rsidRPr="005F74C4">
        <w:rPr>
          <w:lang w:val="en-US"/>
        </w:rPr>
        <w:t xml:space="preserve">Given </w:t>
      </w:r>
      <w:r>
        <w:rPr>
          <w:lang w:val="en-US"/>
        </w:rPr>
        <w:t xml:space="preserve">the magnitude of </w:t>
      </w:r>
      <w:r w:rsidRPr="005F74C4">
        <w:rPr>
          <w:lang w:val="en-US"/>
        </w:rPr>
        <w:t>its capital expenditure program</w:t>
      </w:r>
      <w:r>
        <w:rPr>
          <w:lang w:val="en-US"/>
        </w:rPr>
        <w:t>, domestic and overseas,</w:t>
      </w:r>
      <w:r w:rsidRPr="005F74C4">
        <w:rPr>
          <w:lang w:val="en-US"/>
        </w:rPr>
        <w:t xml:space="preserve"> which assumes more importance as competitors are set to emerge in the private </w:t>
      </w:r>
      <w:r w:rsidR="006C38AA" w:rsidRPr="005F74C4">
        <w:rPr>
          <w:lang w:val="en-US"/>
        </w:rPr>
        <w:t>sector;</w:t>
      </w:r>
      <w:r w:rsidR="006C38AA">
        <w:rPr>
          <w:lang w:val="en-US"/>
        </w:rPr>
        <w:t xml:space="preserve"> prudent and </w:t>
      </w:r>
      <w:r w:rsidR="006C38AA" w:rsidRPr="005F74C4">
        <w:rPr>
          <w:lang w:val="en-US"/>
        </w:rPr>
        <w:t>rational</w:t>
      </w:r>
      <w:r w:rsidRPr="005F74C4">
        <w:rPr>
          <w:lang w:val="en-US"/>
        </w:rPr>
        <w:t xml:space="preserve"> owner</w:t>
      </w:r>
      <w:r w:rsidR="006C38AA">
        <w:rPr>
          <w:lang w:val="en-US"/>
        </w:rPr>
        <w:t>s</w:t>
      </w:r>
      <w:r w:rsidRPr="005F74C4">
        <w:rPr>
          <w:lang w:val="en-US"/>
        </w:rPr>
        <w:t xml:space="preserve"> would</w:t>
      </w:r>
      <w:r>
        <w:rPr>
          <w:lang w:val="en-US"/>
        </w:rPr>
        <w:t xml:space="preserve"> have</w:t>
      </w:r>
      <w:r w:rsidRPr="005F74C4">
        <w:rPr>
          <w:lang w:val="en-US"/>
        </w:rPr>
        <w:t xml:space="preserve"> allow</w:t>
      </w:r>
      <w:r>
        <w:rPr>
          <w:lang w:val="en-US"/>
        </w:rPr>
        <w:t>ed</w:t>
      </w:r>
      <w:r w:rsidRPr="005F74C4">
        <w:rPr>
          <w:lang w:val="en-US"/>
        </w:rPr>
        <w:t xml:space="preserve"> ONGC to plough back as much profit as </w:t>
      </w:r>
      <w:r w:rsidR="006C38AA" w:rsidRPr="005F74C4">
        <w:rPr>
          <w:lang w:val="en-US"/>
        </w:rPr>
        <w:t>possible</w:t>
      </w:r>
      <w:r w:rsidR="006C38AA">
        <w:rPr>
          <w:lang w:val="en-US"/>
        </w:rPr>
        <w:t xml:space="preserve"> rather than adopting a liberal dividend policy</w:t>
      </w:r>
      <w:r w:rsidR="00A11FA0">
        <w:rPr>
          <w:lang w:val="en-US"/>
        </w:rPr>
        <w:t xml:space="preserve"> as was followed by GoI</w:t>
      </w:r>
      <w:r w:rsidR="006C38AA">
        <w:rPr>
          <w:lang w:val="en-US"/>
        </w:rPr>
        <w:t>.</w:t>
      </w:r>
    </w:p>
    <w:p w:rsidR="00D638B0" w:rsidRDefault="00D638B0" w:rsidP="005F74C4">
      <w:pPr>
        <w:spacing w:after="0"/>
        <w:rPr>
          <w:lang w:val="en-US"/>
        </w:rPr>
      </w:pPr>
    </w:p>
    <w:p w:rsidR="00D638B0" w:rsidRPr="0035698D" w:rsidRDefault="00D638B0" w:rsidP="005F74C4">
      <w:pPr>
        <w:spacing w:after="0"/>
        <w:rPr>
          <w:b/>
          <w:bCs/>
          <w:u w:val="single"/>
          <w:lang w:val="en-US"/>
        </w:rPr>
      </w:pPr>
      <w:r w:rsidRPr="0035698D">
        <w:rPr>
          <w:b/>
          <w:bCs/>
          <w:u w:val="single"/>
          <w:lang w:val="en-US"/>
        </w:rPr>
        <w:t>Protecting minority shareholder interest in Coal India:</w:t>
      </w:r>
    </w:p>
    <w:p w:rsidR="00D638B0" w:rsidRPr="0035698D" w:rsidRDefault="00D638B0" w:rsidP="005F74C4">
      <w:pPr>
        <w:spacing w:after="0"/>
        <w:rPr>
          <w:b/>
          <w:bCs/>
          <w:u w:val="single"/>
          <w:lang w:val="en-US"/>
        </w:rPr>
      </w:pPr>
    </w:p>
    <w:p w:rsidR="00D638B0" w:rsidRPr="000E56C2" w:rsidRDefault="000E56C2" w:rsidP="005F74C4">
      <w:pPr>
        <w:spacing w:after="0"/>
        <w:rPr>
          <w:bCs/>
          <w:lang w:val="en-US"/>
        </w:rPr>
      </w:pPr>
      <w:r w:rsidRPr="000E56C2">
        <w:rPr>
          <w:bCs/>
          <w:lang w:val="en-US"/>
        </w:rPr>
        <w:t xml:space="preserve">The ongoing spat between </w:t>
      </w:r>
      <w:r>
        <w:rPr>
          <w:bCs/>
          <w:lang w:val="en-US"/>
        </w:rPr>
        <w:t xml:space="preserve">The Children’s International Fund </w:t>
      </w:r>
      <w:r w:rsidR="00127571">
        <w:rPr>
          <w:bCs/>
          <w:lang w:val="en-US"/>
        </w:rPr>
        <w:t>(</w:t>
      </w:r>
      <w:r>
        <w:rPr>
          <w:bCs/>
          <w:lang w:val="en-US"/>
        </w:rPr>
        <w:t>TCIF) and Coal India has bought to the forefront various corporate governance issues in Coal India that adversely affect minority shareholders</w:t>
      </w:r>
      <w:r>
        <w:rPr>
          <w:rStyle w:val="FootnoteReference"/>
          <w:bCs/>
          <w:lang w:val="en-US"/>
        </w:rPr>
        <w:footnoteReference w:id="74"/>
      </w:r>
      <w:r>
        <w:rPr>
          <w:bCs/>
          <w:lang w:val="en-US"/>
        </w:rPr>
        <w:t xml:space="preserve">. </w:t>
      </w:r>
    </w:p>
    <w:p w:rsidR="00D638B0" w:rsidRPr="000E56C2" w:rsidRDefault="00D638B0" w:rsidP="005F74C4">
      <w:pPr>
        <w:spacing w:after="0"/>
        <w:rPr>
          <w:bCs/>
          <w:lang w:val="en-US"/>
        </w:rPr>
      </w:pPr>
    </w:p>
    <w:p w:rsidR="00451FFD" w:rsidRPr="00673C8B" w:rsidRDefault="00451FFD" w:rsidP="005F74C4">
      <w:pPr>
        <w:spacing w:after="0"/>
        <w:rPr>
          <w:rFonts w:cstheme="minorHAnsi"/>
          <w:color w:val="000000"/>
          <w:shd w:val="clear" w:color="auto" w:fill="FFFFFF"/>
        </w:rPr>
      </w:pPr>
      <w:r w:rsidRPr="00673C8B">
        <w:rPr>
          <w:rStyle w:val="apple-converted-space"/>
          <w:rFonts w:cstheme="minorHAnsi"/>
          <w:color w:val="000000"/>
          <w:shd w:val="clear" w:color="auto" w:fill="FFFFFF"/>
        </w:rPr>
        <w:t>In a letter</w:t>
      </w:r>
      <w:r w:rsidR="00673C8B">
        <w:rPr>
          <w:rStyle w:val="FootnoteReference"/>
          <w:rFonts w:cstheme="minorHAnsi"/>
          <w:color w:val="000000"/>
          <w:shd w:val="clear" w:color="auto" w:fill="FFFFFF"/>
        </w:rPr>
        <w:footnoteReference w:id="75"/>
      </w:r>
      <w:r w:rsidRPr="00673C8B">
        <w:rPr>
          <w:rStyle w:val="apple-converted-space"/>
          <w:rFonts w:cstheme="minorHAnsi"/>
          <w:color w:val="000000"/>
          <w:shd w:val="clear" w:color="auto" w:fill="FFFFFF"/>
        </w:rPr>
        <w:t xml:space="preserve"> dated </w:t>
      </w:r>
      <w:r w:rsidR="00BD0B77" w:rsidRPr="00673C8B">
        <w:rPr>
          <w:rStyle w:val="apple-converted-space"/>
          <w:rFonts w:cstheme="minorHAnsi"/>
          <w:color w:val="000000"/>
          <w:shd w:val="clear" w:color="auto" w:fill="FFFFFF"/>
        </w:rPr>
        <w:t>12</w:t>
      </w:r>
      <w:r w:rsidR="00BD0B77" w:rsidRPr="00673C8B">
        <w:rPr>
          <w:rStyle w:val="apple-converted-space"/>
          <w:rFonts w:cstheme="minorHAnsi"/>
          <w:color w:val="000000"/>
          <w:shd w:val="clear" w:color="auto" w:fill="FFFFFF"/>
          <w:vertAlign w:val="superscript"/>
        </w:rPr>
        <w:t>th</w:t>
      </w:r>
      <w:r w:rsidR="00BD0B77" w:rsidRPr="00673C8B">
        <w:rPr>
          <w:rStyle w:val="apple-converted-space"/>
          <w:rFonts w:cstheme="minorHAnsi"/>
          <w:color w:val="000000"/>
          <w:shd w:val="clear" w:color="auto" w:fill="FFFFFF"/>
        </w:rPr>
        <w:t xml:space="preserve"> </w:t>
      </w:r>
      <w:r w:rsidRPr="00673C8B">
        <w:rPr>
          <w:rStyle w:val="apple-converted-space"/>
          <w:rFonts w:cstheme="minorHAnsi"/>
          <w:color w:val="000000"/>
          <w:shd w:val="clear" w:color="auto" w:fill="FFFFFF"/>
        </w:rPr>
        <w:t>March</w:t>
      </w:r>
      <w:r w:rsidR="00BD0B77" w:rsidRPr="00673C8B">
        <w:rPr>
          <w:rStyle w:val="apple-converted-space"/>
          <w:rFonts w:cstheme="minorHAnsi"/>
          <w:color w:val="000000"/>
          <w:shd w:val="clear" w:color="auto" w:fill="FFFFFF"/>
        </w:rPr>
        <w:t xml:space="preserve"> 2012</w:t>
      </w:r>
      <w:r w:rsidRPr="00673C8B">
        <w:rPr>
          <w:rStyle w:val="apple-converted-space"/>
          <w:rFonts w:cstheme="minorHAnsi"/>
          <w:color w:val="000000"/>
          <w:shd w:val="clear" w:color="auto" w:fill="FFFFFF"/>
        </w:rPr>
        <w:t xml:space="preserve">, TCIF wrote to the </w:t>
      </w:r>
      <w:r w:rsidR="00F759C3" w:rsidRPr="00673C8B">
        <w:rPr>
          <w:rStyle w:val="apple-converted-space"/>
          <w:rFonts w:cstheme="minorHAnsi"/>
          <w:color w:val="000000"/>
          <w:shd w:val="clear" w:color="auto" w:fill="FFFFFF"/>
        </w:rPr>
        <w:t>b</w:t>
      </w:r>
      <w:r w:rsidR="001F5CF4" w:rsidRPr="00673C8B">
        <w:rPr>
          <w:rFonts w:cstheme="minorHAnsi"/>
          <w:color w:val="000000"/>
          <w:shd w:val="clear" w:color="auto" w:fill="FFFFFF"/>
        </w:rPr>
        <w:t xml:space="preserve">oard </w:t>
      </w:r>
      <w:r w:rsidR="00F759C3" w:rsidRPr="00673C8B">
        <w:rPr>
          <w:rFonts w:cstheme="minorHAnsi"/>
          <w:color w:val="000000"/>
          <w:shd w:val="clear" w:color="auto" w:fill="FFFFFF"/>
        </w:rPr>
        <w:t xml:space="preserve">of directors </w:t>
      </w:r>
      <w:r w:rsidR="001F5CF4" w:rsidRPr="00673C8B">
        <w:rPr>
          <w:rFonts w:cstheme="minorHAnsi"/>
          <w:color w:val="000000"/>
          <w:shd w:val="clear" w:color="auto" w:fill="FFFFFF"/>
        </w:rPr>
        <w:t>of Coal India threaten</w:t>
      </w:r>
      <w:r w:rsidRPr="00673C8B">
        <w:rPr>
          <w:rFonts w:cstheme="minorHAnsi"/>
          <w:color w:val="000000"/>
          <w:shd w:val="clear" w:color="auto" w:fill="FFFFFF"/>
        </w:rPr>
        <w:t>ing</w:t>
      </w:r>
      <w:r w:rsidR="001F5CF4" w:rsidRPr="00673C8B">
        <w:rPr>
          <w:rFonts w:cstheme="minorHAnsi"/>
          <w:color w:val="000000"/>
          <w:shd w:val="clear" w:color="auto" w:fill="FFFFFF"/>
        </w:rPr>
        <w:t xml:space="preserve"> to take legal action against their </w:t>
      </w:r>
      <w:r w:rsidR="00F759C3" w:rsidRPr="00673C8B">
        <w:rPr>
          <w:rFonts w:cstheme="minorHAnsi"/>
          <w:color w:val="000000"/>
          <w:shd w:val="clear" w:color="auto" w:fill="FFFFFF"/>
        </w:rPr>
        <w:t>b</w:t>
      </w:r>
      <w:r w:rsidR="001F5CF4" w:rsidRPr="00673C8B">
        <w:rPr>
          <w:rFonts w:cstheme="minorHAnsi"/>
          <w:color w:val="000000"/>
          <w:shd w:val="clear" w:color="auto" w:fill="FFFFFF"/>
        </w:rPr>
        <w:t xml:space="preserve">oard </w:t>
      </w:r>
      <w:r w:rsidR="00F759C3" w:rsidRPr="00673C8B">
        <w:rPr>
          <w:rFonts w:cstheme="minorHAnsi"/>
          <w:color w:val="000000"/>
          <w:shd w:val="clear" w:color="auto" w:fill="FFFFFF"/>
        </w:rPr>
        <w:t>m</w:t>
      </w:r>
      <w:r w:rsidR="001F5CF4" w:rsidRPr="00673C8B">
        <w:rPr>
          <w:rFonts w:cstheme="minorHAnsi"/>
          <w:color w:val="000000"/>
          <w:shd w:val="clear" w:color="auto" w:fill="FFFFFF"/>
        </w:rPr>
        <w:t xml:space="preserve">embers unless clear public commitments </w:t>
      </w:r>
      <w:r w:rsidRPr="00673C8B">
        <w:rPr>
          <w:rFonts w:cstheme="minorHAnsi"/>
          <w:color w:val="000000"/>
          <w:shd w:val="clear" w:color="auto" w:fill="FFFFFF"/>
        </w:rPr>
        <w:t>were made on several governance issues that were raised in their letter.</w:t>
      </w:r>
    </w:p>
    <w:p w:rsidR="00127571" w:rsidRPr="00673C8B" w:rsidRDefault="001F5CF4" w:rsidP="005F74C4">
      <w:pPr>
        <w:spacing w:after="0"/>
        <w:rPr>
          <w:rFonts w:cstheme="minorHAnsi"/>
          <w:color w:val="000000"/>
          <w:shd w:val="clear" w:color="auto" w:fill="FFFFFF"/>
        </w:rPr>
      </w:pPr>
      <w:r w:rsidRPr="00673C8B">
        <w:rPr>
          <w:rStyle w:val="apple-converted-space"/>
          <w:rFonts w:cstheme="minorHAnsi"/>
          <w:color w:val="000000"/>
          <w:shd w:val="clear" w:color="auto" w:fill="FFFFFF"/>
        </w:rPr>
        <w:t> </w:t>
      </w:r>
      <w:r w:rsidRPr="00673C8B">
        <w:rPr>
          <w:rFonts w:cstheme="minorHAnsi"/>
          <w:color w:val="000000"/>
        </w:rPr>
        <w:br/>
      </w:r>
      <w:r w:rsidRPr="00673C8B">
        <w:rPr>
          <w:rFonts w:cstheme="minorHAnsi"/>
          <w:color w:val="000000"/>
          <w:shd w:val="clear" w:color="auto" w:fill="FFFFFF"/>
        </w:rPr>
        <w:t xml:space="preserve">The essence of </w:t>
      </w:r>
      <w:r w:rsidR="00127571" w:rsidRPr="00673C8B">
        <w:rPr>
          <w:rFonts w:cstheme="minorHAnsi"/>
          <w:color w:val="000000"/>
          <w:shd w:val="clear" w:color="auto" w:fill="FFFFFF"/>
        </w:rPr>
        <w:t xml:space="preserve">TCIF’s </w:t>
      </w:r>
      <w:r w:rsidRPr="00673C8B">
        <w:rPr>
          <w:rFonts w:cstheme="minorHAnsi"/>
          <w:color w:val="000000"/>
          <w:shd w:val="clear" w:color="auto" w:fill="FFFFFF"/>
        </w:rPr>
        <w:t xml:space="preserve">concerns </w:t>
      </w:r>
      <w:r w:rsidR="00127571" w:rsidRPr="00673C8B">
        <w:rPr>
          <w:rFonts w:cstheme="minorHAnsi"/>
          <w:color w:val="000000"/>
          <w:shd w:val="clear" w:color="auto" w:fill="FFFFFF"/>
        </w:rPr>
        <w:t xml:space="preserve">has been the </w:t>
      </w:r>
      <w:r w:rsidRPr="00673C8B">
        <w:rPr>
          <w:rFonts w:cstheme="minorHAnsi"/>
          <w:color w:val="000000"/>
          <w:shd w:val="clear" w:color="auto" w:fill="FFFFFF"/>
        </w:rPr>
        <w:t>abuse of minority shareholders</w:t>
      </w:r>
      <w:r w:rsidR="00127571" w:rsidRPr="00673C8B">
        <w:rPr>
          <w:rFonts w:cstheme="minorHAnsi"/>
          <w:color w:val="000000"/>
          <w:shd w:val="clear" w:color="auto" w:fill="FFFFFF"/>
        </w:rPr>
        <w:t xml:space="preserve"> </w:t>
      </w:r>
      <w:r w:rsidR="00BD0B77" w:rsidRPr="00673C8B">
        <w:rPr>
          <w:rFonts w:cstheme="minorHAnsi"/>
          <w:color w:val="000000"/>
          <w:shd w:val="clear" w:color="auto" w:fill="FFFFFF"/>
        </w:rPr>
        <w:t>(by</w:t>
      </w:r>
      <w:r w:rsidR="00127571" w:rsidRPr="00673C8B">
        <w:rPr>
          <w:rFonts w:cstheme="minorHAnsi"/>
          <w:color w:val="000000"/>
          <w:shd w:val="clear" w:color="auto" w:fill="FFFFFF"/>
        </w:rPr>
        <w:t xml:space="preserve"> the Government of India as the majority shareholder)</w:t>
      </w:r>
      <w:r w:rsidRPr="00673C8B">
        <w:rPr>
          <w:rFonts w:cstheme="minorHAnsi"/>
          <w:color w:val="000000"/>
          <w:shd w:val="clear" w:color="auto" w:fill="FFFFFF"/>
        </w:rPr>
        <w:t xml:space="preserve"> and poor corporate governance</w:t>
      </w:r>
      <w:r w:rsidR="00127571" w:rsidRPr="00673C8B">
        <w:rPr>
          <w:rFonts w:cstheme="minorHAnsi"/>
          <w:color w:val="000000"/>
          <w:shd w:val="clear" w:color="auto" w:fill="FFFFFF"/>
        </w:rPr>
        <w:t xml:space="preserve"> </w:t>
      </w:r>
      <w:r w:rsidR="00BD0B77" w:rsidRPr="00673C8B">
        <w:rPr>
          <w:rFonts w:cstheme="minorHAnsi"/>
          <w:color w:val="000000"/>
          <w:shd w:val="clear" w:color="auto" w:fill="FFFFFF"/>
        </w:rPr>
        <w:t>in Coal India. To support their charge they provided the following details;</w:t>
      </w:r>
    </w:p>
    <w:p w:rsidR="00127571" w:rsidRPr="00673C8B" w:rsidRDefault="00127571" w:rsidP="00127571">
      <w:pPr>
        <w:pStyle w:val="ListParagraph"/>
        <w:numPr>
          <w:ilvl w:val="0"/>
          <w:numId w:val="37"/>
        </w:numPr>
        <w:spacing w:after="0"/>
        <w:rPr>
          <w:rStyle w:val="apple-converted-space"/>
          <w:rFonts w:cstheme="minorHAnsi"/>
          <w:color w:val="000000"/>
          <w:shd w:val="clear" w:color="auto" w:fill="FFFFFF"/>
        </w:rPr>
      </w:pPr>
      <w:r w:rsidRPr="00673C8B">
        <w:rPr>
          <w:rFonts w:cstheme="minorHAnsi"/>
          <w:color w:val="000000"/>
          <w:shd w:val="clear" w:color="auto" w:fill="FFFFFF"/>
        </w:rPr>
        <w:t>E</w:t>
      </w:r>
      <w:r w:rsidR="001F5CF4" w:rsidRPr="00673C8B">
        <w:rPr>
          <w:rFonts w:cstheme="minorHAnsi"/>
          <w:color w:val="000000"/>
          <w:shd w:val="clear" w:color="auto" w:fill="FFFFFF"/>
        </w:rPr>
        <w:t>vidence that the Board of Coal India ‘blindly’ accepted instructions from the Secretary of the Ministry of Coal, Mr.</w:t>
      </w:r>
      <w:r w:rsidR="00BD0B77" w:rsidRPr="00673C8B">
        <w:rPr>
          <w:rFonts w:cstheme="minorHAnsi"/>
          <w:color w:val="000000"/>
          <w:shd w:val="clear" w:color="auto" w:fill="FFFFFF"/>
        </w:rPr>
        <w:t xml:space="preserve"> </w:t>
      </w:r>
      <w:r w:rsidR="00A802E0" w:rsidRPr="00673C8B">
        <w:rPr>
          <w:rFonts w:cstheme="minorHAnsi"/>
          <w:color w:val="000000"/>
          <w:shd w:val="clear" w:color="auto" w:fill="FFFFFF"/>
        </w:rPr>
        <w:t>Alok Perti</w:t>
      </w:r>
      <w:r w:rsidR="001F5CF4" w:rsidRPr="00673C8B">
        <w:rPr>
          <w:rFonts w:cstheme="minorHAnsi"/>
          <w:color w:val="000000"/>
          <w:shd w:val="clear" w:color="auto" w:fill="FFFFFF"/>
        </w:rPr>
        <w:t>, to revise down the effective price notification dated 30.12.2011</w:t>
      </w:r>
      <w:r w:rsidR="00BD0B77" w:rsidRPr="00673C8B">
        <w:rPr>
          <w:rFonts w:cstheme="minorHAnsi"/>
          <w:color w:val="000000"/>
          <w:shd w:val="clear" w:color="auto" w:fill="FFFFFF"/>
        </w:rPr>
        <w:t xml:space="preserve"> for various calorific bands of coal</w:t>
      </w:r>
      <w:r w:rsidR="00F759C3" w:rsidRPr="00673C8B">
        <w:rPr>
          <w:rFonts w:cstheme="minorHAnsi"/>
          <w:color w:val="000000"/>
          <w:shd w:val="clear" w:color="auto" w:fill="FFFFFF"/>
        </w:rPr>
        <w:t xml:space="preserve"> despite the fact that under the Colliery Control order, 2000 the coal prices have been de-regulated and the power of the central government </w:t>
      </w:r>
      <w:r w:rsidR="001F19CE" w:rsidRPr="00673C8B">
        <w:rPr>
          <w:rFonts w:cstheme="minorHAnsi"/>
          <w:color w:val="000000"/>
          <w:shd w:val="clear" w:color="auto" w:fill="FFFFFF"/>
        </w:rPr>
        <w:t xml:space="preserve">was confined </w:t>
      </w:r>
      <w:r w:rsidR="00F759C3" w:rsidRPr="00673C8B">
        <w:rPr>
          <w:rFonts w:cstheme="minorHAnsi"/>
          <w:color w:val="000000"/>
          <w:shd w:val="clear" w:color="auto" w:fill="FFFFFF"/>
        </w:rPr>
        <w:t>to</w:t>
      </w:r>
      <w:r w:rsidR="001F19CE" w:rsidRPr="00673C8B">
        <w:rPr>
          <w:rFonts w:cstheme="minorHAnsi"/>
          <w:color w:val="000000"/>
          <w:shd w:val="clear" w:color="auto" w:fill="FFFFFF"/>
        </w:rPr>
        <w:t xml:space="preserve"> merely</w:t>
      </w:r>
      <w:r w:rsidR="00F759C3" w:rsidRPr="00673C8B">
        <w:rPr>
          <w:rFonts w:cstheme="minorHAnsi"/>
          <w:color w:val="000000"/>
          <w:shd w:val="clear" w:color="auto" w:fill="FFFFFF"/>
        </w:rPr>
        <w:t xml:space="preserve"> regulate the supply of coal and not to regulate </w:t>
      </w:r>
      <w:r w:rsidR="001F19CE" w:rsidRPr="00673C8B">
        <w:rPr>
          <w:rFonts w:cstheme="minorHAnsi"/>
          <w:color w:val="000000"/>
          <w:shd w:val="clear" w:color="auto" w:fill="FFFFFF"/>
        </w:rPr>
        <w:t>its</w:t>
      </w:r>
      <w:r w:rsidR="00F759C3" w:rsidRPr="00673C8B">
        <w:rPr>
          <w:rFonts w:cstheme="minorHAnsi"/>
          <w:color w:val="000000"/>
          <w:shd w:val="clear" w:color="auto" w:fill="FFFFFF"/>
        </w:rPr>
        <w:t xml:space="preserve"> price</w:t>
      </w:r>
      <w:r w:rsidRPr="00673C8B">
        <w:rPr>
          <w:rFonts w:cstheme="minorHAnsi"/>
          <w:color w:val="000000"/>
          <w:shd w:val="clear" w:color="auto" w:fill="FFFFFF"/>
        </w:rPr>
        <w:t>.</w:t>
      </w:r>
      <w:r w:rsidR="001F5CF4" w:rsidRPr="00673C8B">
        <w:rPr>
          <w:rStyle w:val="apple-converted-space"/>
          <w:rFonts w:cstheme="minorHAnsi"/>
          <w:color w:val="000000"/>
          <w:shd w:val="clear" w:color="auto" w:fill="FFFFFF"/>
        </w:rPr>
        <w:t> </w:t>
      </w:r>
    </w:p>
    <w:p w:rsidR="00127571" w:rsidRPr="00673C8B" w:rsidRDefault="001F5CF4" w:rsidP="00127571">
      <w:pPr>
        <w:pStyle w:val="ListParagraph"/>
        <w:numPr>
          <w:ilvl w:val="0"/>
          <w:numId w:val="37"/>
        </w:numPr>
        <w:spacing w:after="0"/>
        <w:rPr>
          <w:rFonts w:cstheme="minorHAnsi"/>
          <w:color w:val="000000"/>
          <w:shd w:val="clear" w:color="auto" w:fill="FFFFFF"/>
        </w:rPr>
      </w:pPr>
      <w:r w:rsidRPr="00673C8B">
        <w:rPr>
          <w:rFonts w:cstheme="minorHAnsi"/>
          <w:color w:val="000000"/>
          <w:shd w:val="clear" w:color="auto" w:fill="FFFFFF"/>
        </w:rPr>
        <w:lastRenderedPageBreak/>
        <w:t xml:space="preserve">Coal India is effectively subsidizing the (private) power sector and </w:t>
      </w:r>
      <w:r w:rsidR="001F19CE" w:rsidRPr="00673C8B">
        <w:rPr>
          <w:rFonts w:cstheme="minorHAnsi"/>
          <w:color w:val="000000"/>
          <w:shd w:val="clear" w:color="auto" w:fill="FFFFFF"/>
        </w:rPr>
        <w:t xml:space="preserve">was </w:t>
      </w:r>
      <w:r w:rsidRPr="00673C8B">
        <w:rPr>
          <w:rFonts w:cstheme="minorHAnsi"/>
          <w:color w:val="000000"/>
          <w:shd w:val="clear" w:color="auto" w:fill="FFFFFF"/>
        </w:rPr>
        <w:t>forced to continue to operate loss making underground mines as coal prices</w:t>
      </w:r>
      <w:r w:rsidR="001F19CE" w:rsidRPr="00673C8B">
        <w:rPr>
          <w:rFonts w:cstheme="minorHAnsi"/>
          <w:color w:val="000000"/>
          <w:shd w:val="clear" w:color="auto" w:fill="FFFFFF"/>
        </w:rPr>
        <w:t xml:space="preserve"> under the FSAs signed by it with the power producers were </w:t>
      </w:r>
      <w:r w:rsidRPr="00673C8B">
        <w:rPr>
          <w:rFonts w:cstheme="minorHAnsi"/>
          <w:color w:val="000000"/>
          <w:shd w:val="clear" w:color="auto" w:fill="FFFFFF"/>
        </w:rPr>
        <w:t>at 70% discount to</w:t>
      </w:r>
      <w:r w:rsidR="001F19CE" w:rsidRPr="00673C8B">
        <w:rPr>
          <w:rFonts w:cstheme="minorHAnsi"/>
          <w:color w:val="000000"/>
          <w:shd w:val="clear" w:color="auto" w:fill="FFFFFF"/>
        </w:rPr>
        <w:t xml:space="preserve"> the</w:t>
      </w:r>
      <w:r w:rsidRPr="00673C8B">
        <w:rPr>
          <w:rFonts w:cstheme="minorHAnsi"/>
          <w:color w:val="000000"/>
          <w:shd w:val="clear" w:color="auto" w:fill="FFFFFF"/>
        </w:rPr>
        <w:t xml:space="preserve"> international coal market prices putting over 200,000 jobs at risk. </w:t>
      </w:r>
      <w:r w:rsidRPr="00673C8B">
        <w:rPr>
          <w:rFonts w:cstheme="minorHAnsi"/>
          <w:color w:val="000000"/>
        </w:rPr>
        <w:br/>
      </w:r>
    </w:p>
    <w:p w:rsidR="001F5CF4" w:rsidRPr="00673C8B" w:rsidRDefault="001F5CF4" w:rsidP="00C755EB">
      <w:pPr>
        <w:spacing w:after="0"/>
        <w:rPr>
          <w:rStyle w:val="apple-converted-space"/>
          <w:rFonts w:cstheme="minorHAnsi"/>
          <w:color w:val="000000"/>
          <w:shd w:val="clear" w:color="auto" w:fill="FFFFFF"/>
        </w:rPr>
      </w:pPr>
      <w:r w:rsidRPr="00673C8B">
        <w:rPr>
          <w:rFonts w:cstheme="minorHAnsi"/>
          <w:color w:val="000000"/>
          <w:shd w:val="clear" w:color="auto" w:fill="FFFFFF"/>
        </w:rPr>
        <w:t xml:space="preserve">Other </w:t>
      </w:r>
      <w:r w:rsidR="00BD0B77" w:rsidRPr="00673C8B">
        <w:rPr>
          <w:rFonts w:cstheme="minorHAnsi"/>
          <w:color w:val="000000"/>
          <w:shd w:val="clear" w:color="auto" w:fill="FFFFFF"/>
        </w:rPr>
        <w:t>issues, arising from poor governance that TCIF wanted to be addressed were;</w:t>
      </w:r>
      <w:r w:rsidRPr="00673C8B">
        <w:rPr>
          <w:rStyle w:val="apple-converted-space"/>
          <w:rFonts w:cstheme="minorHAnsi"/>
          <w:color w:val="000000"/>
          <w:shd w:val="clear" w:color="auto" w:fill="FFFFFF"/>
        </w:rPr>
        <w:t> </w:t>
      </w:r>
      <w:r w:rsidRPr="00673C8B">
        <w:rPr>
          <w:rFonts w:cstheme="minorHAnsi"/>
          <w:color w:val="000000"/>
        </w:rPr>
        <w:br/>
      </w:r>
      <w:r w:rsidRPr="00673C8B">
        <w:rPr>
          <w:rFonts w:cstheme="minorHAnsi"/>
          <w:color w:val="000000"/>
          <w:shd w:val="clear" w:color="auto" w:fill="FFFFFF"/>
        </w:rPr>
        <w:t>- unde</w:t>
      </w:r>
      <w:r w:rsidR="00BD0B77" w:rsidRPr="00673C8B">
        <w:rPr>
          <w:rFonts w:cstheme="minorHAnsi"/>
          <w:color w:val="000000"/>
          <w:shd w:val="clear" w:color="auto" w:fill="FFFFFF"/>
        </w:rPr>
        <w:t xml:space="preserve">r </w:t>
      </w:r>
      <w:r w:rsidRPr="00673C8B">
        <w:rPr>
          <w:rFonts w:cstheme="minorHAnsi"/>
          <w:color w:val="000000"/>
          <w:shd w:val="clear" w:color="auto" w:fill="FFFFFF"/>
        </w:rPr>
        <w:t>pricing of coal</w:t>
      </w:r>
      <w:r w:rsidR="00BD0B77" w:rsidRPr="00673C8B">
        <w:rPr>
          <w:rFonts w:cstheme="minorHAnsi"/>
          <w:color w:val="000000"/>
          <w:shd w:val="clear" w:color="auto" w:fill="FFFFFF"/>
        </w:rPr>
        <w:t xml:space="preserve"> to be supplied under the Fuel Supply Agreements (FSAs)</w:t>
      </w:r>
      <w:r w:rsidRPr="00673C8B">
        <w:rPr>
          <w:rFonts w:cstheme="minorHAnsi"/>
          <w:color w:val="000000"/>
          <w:shd w:val="clear" w:color="auto" w:fill="FFFFFF"/>
        </w:rPr>
        <w:t xml:space="preserve"> to market levels</w:t>
      </w:r>
      <w:r w:rsidRPr="00673C8B">
        <w:rPr>
          <w:rStyle w:val="apple-converted-space"/>
          <w:rFonts w:cstheme="minorHAnsi"/>
          <w:color w:val="000000"/>
          <w:shd w:val="clear" w:color="auto" w:fill="FFFFFF"/>
        </w:rPr>
        <w:t> </w:t>
      </w:r>
      <w:r w:rsidRPr="00673C8B">
        <w:rPr>
          <w:rFonts w:cstheme="minorHAnsi"/>
          <w:color w:val="000000"/>
        </w:rPr>
        <w:br/>
      </w:r>
      <w:r w:rsidRPr="00673C8B">
        <w:rPr>
          <w:rFonts w:cstheme="minorHAnsi"/>
          <w:color w:val="000000"/>
          <w:shd w:val="clear" w:color="auto" w:fill="FFFFFF"/>
        </w:rPr>
        <w:t>- acquiescence of the mining bill</w:t>
      </w:r>
      <w:r w:rsidRPr="00673C8B">
        <w:rPr>
          <w:rStyle w:val="apple-converted-space"/>
          <w:rFonts w:cstheme="minorHAnsi"/>
          <w:color w:val="000000"/>
          <w:shd w:val="clear" w:color="auto" w:fill="FFFFFF"/>
        </w:rPr>
        <w:t> </w:t>
      </w:r>
      <w:r w:rsidRPr="00673C8B">
        <w:rPr>
          <w:rFonts w:cstheme="minorHAnsi"/>
          <w:color w:val="000000"/>
        </w:rPr>
        <w:br/>
      </w:r>
      <w:r w:rsidRPr="00673C8B">
        <w:rPr>
          <w:rFonts w:cstheme="minorHAnsi"/>
          <w:color w:val="000000"/>
          <w:shd w:val="clear" w:color="auto" w:fill="FFFFFF"/>
        </w:rPr>
        <w:t xml:space="preserve">- slow implementation of the </w:t>
      </w:r>
      <w:r w:rsidR="00BD0B77" w:rsidRPr="00673C8B">
        <w:rPr>
          <w:rFonts w:cstheme="minorHAnsi"/>
          <w:color w:val="000000"/>
          <w:shd w:val="clear" w:color="auto" w:fill="FFFFFF"/>
        </w:rPr>
        <w:t xml:space="preserve">coal </w:t>
      </w:r>
      <w:r w:rsidRPr="00673C8B">
        <w:rPr>
          <w:rFonts w:cstheme="minorHAnsi"/>
          <w:color w:val="000000"/>
          <w:shd w:val="clear" w:color="auto" w:fill="FFFFFF"/>
        </w:rPr>
        <w:t>washeries</w:t>
      </w:r>
      <w:r w:rsidRPr="00673C8B">
        <w:rPr>
          <w:rStyle w:val="apple-converted-space"/>
          <w:rFonts w:cstheme="minorHAnsi"/>
          <w:color w:val="000000"/>
          <w:shd w:val="clear" w:color="auto" w:fill="FFFFFF"/>
        </w:rPr>
        <w:t> </w:t>
      </w:r>
      <w:r w:rsidRPr="00673C8B">
        <w:rPr>
          <w:rFonts w:cstheme="minorHAnsi"/>
          <w:color w:val="000000"/>
        </w:rPr>
        <w:br/>
      </w:r>
      <w:r w:rsidRPr="00673C8B">
        <w:rPr>
          <w:rFonts w:cstheme="minorHAnsi"/>
          <w:color w:val="000000"/>
          <w:shd w:val="clear" w:color="auto" w:fill="FFFFFF"/>
        </w:rPr>
        <w:t>- lack of action on prevalent theft of coal</w:t>
      </w:r>
      <w:r w:rsidRPr="00673C8B">
        <w:rPr>
          <w:rStyle w:val="apple-converted-space"/>
          <w:rFonts w:cstheme="minorHAnsi"/>
          <w:color w:val="000000"/>
          <w:shd w:val="clear" w:color="auto" w:fill="FFFFFF"/>
        </w:rPr>
        <w:t> </w:t>
      </w:r>
      <w:r w:rsidRPr="00673C8B">
        <w:rPr>
          <w:rFonts w:cstheme="minorHAnsi"/>
          <w:color w:val="000000"/>
        </w:rPr>
        <w:br/>
      </w:r>
      <w:r w:rsidRPr="00673C8B">
        <w:rPr>
          <w:rFonts w:cstheme="minorHAnsi"/>
          <w:color w:val="000000"/>
          <w:shd w:val="clear" w:color="auto" w:fill="FFFFFF"/>
        </w:rPr>
        <w:t>- tolerance of inefficiencies in underground mines</w:t>
      </w:r>
      <w:r w:rsidRPr="00673C8B">
        <w:rPr>
          <w:rStyle w:val="apple-converted-space"/>
          <w:rFonts w:cstheme="minorHAnsi"/>
          <w:color w:val="000000"/>
          <w:shd w:val="clear" w:color="auto" w:fill="FFFFFF"/>
        </w:rPr>
        <w:t> </w:t>
      </w:r>
      <w:r w:rsidRPr="00673C8B">
        <w:rPr>
          <w:rFonts w:cstheme="minorHAnsi"/>
          <w:color w:val="000000"/>
        </w:rPr>
        <w:br/>
      </w:r>
      <w:r w:rsidRPr="00673C8B">
        <w:rPr>
          <w:rFonts w:cstheme="minorHAnsi"/>
          <w:color w:val="000000"/>
          <w:shd w:val="clear" w:color="auto" w:fill="FFFFFF"/>
        </w:rPr>
        <w:t>- under</w:t>
      </w:r>
      <w:r w:rsidR="00BD0B77" w:rsidRPr="00673C8B">
        <w:rPr>
          <w:rFonts w:cstheme="minorHAnsi"/>
          <w:color w:val="000000"/>
          <w:shd w:val="clear" w:color="auto" w:fill="FFFFFF"/>
        </w:rPr>
        <w:t xml:space="preserve"> </w:t>
      </w:r>
      <w:r w:rsidRPr="00673C8B">
        <w:rPr>
          <w:rFonts w:cstheme="minorHAnsi"/>
          <w:color w:val="000000"/>
          <w:shd w:val="clear" w:color="auto" w:fill="FFFFFF"/>
        </w:rPr>
        <w:t>delivery of coal production targets despite abundant reserves</w:t>
      </w:r>
      <w:r w:rsidRPr="00673C8B">
        <w:rPr>
          <w:rStyle w:val="apple-converted-space"/>
          <w:rFonts w:cstheme="minorHAnsi"/>
          <w:color w:val="000000"/>
          <w:shd w:val="clear" w:color="auto" w:fill="FFFFFF"/>
        </w:rPr>
        <w:t> </w:t>
      </w:r>
    </w:p>
    <w:p w:rsidR="00127571" w:rsidRPr="00673C8B" w:rsidRDefault="00127571" w:rsidP="00C755EB">
      <w:pPr>
        <w:spacing w:after="0"/>
        <w:ind w:left="720"/>
        <w:rPr>
          <w:rFonts w:cstheme="minorHAnsi"/>
          <w:color w:val="000000"/>
          <w:shd w:val="clear" w:color="auto" w:fill="FFFFFF"/>
        </w:rPr>
      </w:pPr>
    </w:p>
    <w:p w:rsidR="001F5CF4" w:rsidRPr="00673C8B" w:rsidRDefault="00127571" w:rsidP="005F74C4">
      <w:pPr>
        <w:spacing w:after="0"/>
        <w:rPr>
          <w:rStyle w:val="apple-converted-space"/>
          <w:rFonts w:cstheme="minorHAnsi"/>
          <w:color w:val="000000"/>
          <w:shd w:val="clear" w:color="auto" w:fill="FFFFFF"/>
        </w:rPr>
      </w:pPr>
      <w:r w:rsidRPr="00673C8B">
        <w:rPr>
          <w:rFonts w:cstheme="minorHAnsi"/>
          <w:color w:val="000000"/>
          <w:shd w:val="clear" w:color="auto" w:fill="FFFFFF"/>
        </w:rPr>
        <w:t xml:space="preserve">By not acting in the interest of the company, </w:t>
      </w:r>
      <w:r w:rsidR="00BD0B77" w:rsidRPr="00673C8B">
        <w:rPr>
          <w:rFonts w:cstheme="minorHAnsi"/>
          <w:color w:val="000000"/>
          <w:shd w:val="clear" w:color="auto" w:fill="FFFFFF"/>
        </w:rPr>
        <w:t xml:space="preserve">TCIF claimed that </w:t>
      </w:r>
      <w:r w:rsidRPr="00673C8B">
        <w:rPr>
          <w:rFonts w:cstheme="minorHAnsi"/>
          <w:color w:val="000000"/>
          <w:shd w:val="clear" w:color="auto" w:fill="FFFFFF"/>
        </w:rPr>
        <w:t xml:space="preserve">the Board of Coal India </w:t>
      </w:r>
      <w:r w:rsidR="001F19CE" w:rsidRPr="00673C8B">
        <w:rPr>
          <w:rFonts w:cstheme="minorHAnsi"/>
          <w:color w:val="000000"/>
          <w:shd w:val="clear" w:color="auto" w:fill="FFFFFF"/>
        </w:rPr>
        <w:t>was</w:t>
      </w:r>
      <w:r w:rsidRPr="00673C8B">
        <w:rPr>
          <w:rFonts w:cstheme="minorHAnsi"/>
          <w:color w:val="000000"/>
          <w:shd w:val="clear" w:color="auto" w:fill="FFFFFF"/>
        </w:rPr>
        <w:t xml:space="preserve"> effectively destroying huge amount of value which</w:t>
      </w:r>
      <w:r w:rsidR="00BD0B77" w:rsidRPr="00673C8B">
        <w:rPr>
          <w:rFonts w:cstheme="minorHAnsi"/>
          <w:color w:val="000000"/>
          <w:shd w:val="clear" w:color="auto" w:fill="FFFFFF"/>
        </w:rPr>
        <w:t>,</w:t>
      </w:r>
      <w:r w:rsidRPr="00673C8B">
        <w:rPr>
          <w:rFonts w:cstheme="minorHAnsi"/>
          <w:color w:val="000000"/>
          <w:shd w:val="clear" w:color="auto" w:fill="FFFFFF"/>
        </w:rPr>
        <w:t xml:space="preserve"> given that the government own</w:t>
      </w:r>
      <w:r w:rsidR="006C38AA" w:rsidRPr="00673C8B">
        <w:rPr>
          <w:rFonts w:cstheme="minorHAnsi"/>
          <w:color w:val="000000"/>
          <w:shd w:val="clear" w:color="auto" w:fill="FFFFFF"/>
        </w:rPr>
        <w:t>ed</w:t>
      </w:r>
      <w:r w:rsidRPr="00673C8B">
        <w:rPr>
          <w:rFonts w:cstheme="minorHAnsi"/>
          <w:color w:val="000000"/>
          <w:shd w:val="clear" w:color="auto" w:fill="FFFFFF"/>
        </w:rPr>
        <w:t xml:space="preserve"> 90% of the company</w:t>
      </w:r>
      <w:r w:rsidR="006C38AA" w:rsidRPr="00673C8B">
        <w:rPr>
          <w:rFonts w:cstheme="minorHAnsi"/>
          <w:color w:val="000000"/>
          <w:shd w:val="clear" w:color="auto" w:fill="FFFFFF"/>
        </w:rPr>
        <w:t xml:space="preserve">, affected the </w:t>
      </w:r>
      <w:r w:rsidR="001F19CE" w:rsidRPr="00673C8B">
        <w:rPr>
          <w:rFonts w:cstheme="minorHAnsi"/>
          <w:color w:val="000000"/>
          <w:shd w:val="clear" w:color="auto" w:fill="FFFFFF"/>
        </w:rPr>
        <w:t>p</w:t>
      </w:r>
      <w:r w:rsidR="006C38AA" w:rsidRPr="00673C8B">
        <w:rPr>
          <w:rFonts w:cstheme="minorHAnsi"/>
          <w:color w:val="000000"/>
          <w:shd w:val="clear" w:color="auto" w:fill="FFFFFF"/>
        </w:rPr>
        <w:t>eople of India the most</w:t>
      </w:r>
      <w:r w:rsidRPr="00673C8B">
        <w:rPr>
          <w:rFonts w:cstheme="minorHAnsi"/>
          <w:color w:val="000000"/>
          <w:shd w:val="clear" w:color="auto" w:fill="FFFFFF"/>
        </w:rPr>
        <w:t>.</w:t>
      </w:r>
      <w:r w:rsidRPr="00673C8B">
        <w:rPr>
          <w:rStyle w:val="apple-converted-space"/>
          <w:rFonts w:cstheme="minorHAnsi"/>
          <w:color w:val="000000"/>
          <w:shd w:val="clear" w:color="auto" w:fill="FFFFFF"/>
        </w:rPr>
        <w:t> </w:t>
      </w:r>
    </w:p>
    <w:p w:rsidR="00BD0B77" w:rsidRPr="00673C8B" w:rsidRDefault="00BD0B77" w:rsidP="005F74C4">
      <w:pPr>
        <w:spacing w:after="0"/>
        <w:rPr>
          <w:rStyle w:val="apple-converted-space"/>
          <w:rFonts w:cstheme="minorHAnsi"/>
          <w:color w:val="000000"/>
          <w:shd w:val="clear" w:color="auto" w:fill="FFFFFF"/>
        </w:rPr>
      </w:pPr>
    </w:p>
    <w:p w:rsidR="00B21C51" w:rsidRPr="00673C8B" w:rsidRDefault="00A802E0" w:rsidP="00A802E0">
      <w:pPr>
        <w:spacing w:after="0"/>
        <w:rPr>
          <w:rFonts w:cstheme="minorHAnsi"/>
          <w:color w:val="000000"/>
          <w:shd w:val="clear" w:color="auto" w:fill="FFFFFF"/>
          <w:lang w:val="en-US"/>
        </w:rPr>
      </w:pPr>
      <w:r w:rsidRPr="00673C8B">
        <w:rPr>
          <w:rFonts w:cstheme="minorHAnsi"/>
          <w:color w:val="000000"/>
          <w:shd w:val="clear" w:color="auto" w:fill="FFFFFF"/>
          <w:lang w:val="en-US"/>
        </w:rPr>
        <w:t>The activism shown by TCIF was unprecedented in India and resulted in a number of events that followed</w:t>
      </w:r>
      <w:r w:rsidR="006C38AA" w:rsidRPr="00673C8B">
        <w:rPr>
          <w:rStyle w:val="FootnoteReference"/>
          <w:rFonts w:cstheme="minorHAnsi"/>
          <w:color w:val="000000"/>
          <w:shd w:val="clear" w:color="auto" w:fill="FFFFFF"/>
          <w:lang w:val="en-US"/>
        </w:rPr>
        <w:footnoteReference w:id="76"/>
      </w:r>
      <w:r w:rsidRPr="00673C8B">
        <w:rPr>
          <w:rFonts w:cstheme="minorHAnsi"/>
          <w:color w:val="000000"/>
          <w:shd w:val="clear" w:color="auto" w:fill="FFFFFF"/>
          <w:lang w:val="en-US"/>
        </w:rPr>
        <w:t xml:space="preserve">. </w:t>
      </w:r>
    </w:p>
    <w:p w:rsidR="00B21C51" w:rsidRPr="00673C8B" w:rsidRDefault="00B21C51" w:rsidP="00A802E0">
      <w:pPr>
        <w:spacing w:after="0"/>
        <w:rPr>
          <w:rFonts w:cstheme="minorHAnsi"/>
          <w:color w:val="000000"/>
          <w:shd w:val="clear" w:color="auto" w:fill="FFFFFF"/>
          <w:lang w:val="en-US"/>
        </w:rPr>
      </w:pPr>
    </w:p>
    <w:p w:rsidR="00A802E0" w:rsidRPr="00673C8B" w:rsidRDefault="00A802E0" w:rsidP="00A802E0">
      <w:pPr>
        <w:spacing w:after="0"/>
        <w:rPr>
          <w:rFonts w:cstheme="minorHAnsi"/>
          <w:color w:val="000000"/>
          <w:shd w:val="clear" w:color="auto" w:fill="FFFFFF"/>
          <w:lang w:val="en-US"/>
        </w:rPr>
      </w:pPr>
      <w:r w:rsidRPr="00673C8B">
        <w:rPr>
          <w:rFonts w:cstheme="minorHAnsi"/>
          <w:color w:val="000000"/>
          <w:shd w:val="clear" w:color="auto" w:fill="FFFFFF"/>
          <w:lang w:val="en-US"/>
        </w:rPr>
        <w:t xml:space="preserve">CIL’s independent directors opposed the penalty clause on Fuel Supply Agreements (FSAs) at a time when mining projects in India are being put on hold owing to delays in environmental clearances. Following this CIL was issued a </w:t>
      </w:r>
      <w:r w:rsidR="006C38AA" w:rsidRPr="00673C8B">
        <w:rPr>
          <w:rFonts w:cstheme="minorHAnsi"/>
          <w:color w:val="000000"/>
          <w:shd w:val="clear" w:color="auto" w:fill="FFFFFF"/>
          <w:lang w:val="en-US"/>
        </w:rPr>
        <w:t>P</w:t>
      </w:r>
      <w:r w:rsidRPr="00673C8B">
        <w:rPr>
          <w:rFonts w:cstheme="minorHAnsi"/>
          <w:color w:val="000000"/>
          <w:shd w:val="clear" w:color="auto" w:fill="FFFFFF"/>
          <w:lang w:val="en-US"/>
        </w:rPr>
        <w:t xml:space="preserve">residential directive to sign FSAs with power producers binding the state-owned producer to ensure that </w:t>
      </w:r>
      <w:r w:rsidR="006C38AA" w:rsidRPr="00673C8B">
        <w:rPr>
          <w:rFonts w:cstheme="minorHAnsi"/>
          <w:color w:val="000000"/>
          <w:shd w:val="clear" w:color="auto" w:fill="FFFFFF"/>
          <w:lang w:val="en-US"/>
        </w:rPr>
        <w:t>power</w:t>
      </w:r>
      <w:r w:rsidRPr="00673C8B">
        <w:rPr>
          <w:rFonts w:cstheme="minorHAnsi"/>
          <w:color w:val="000000"/>
          <w:shd w:val="clear" w:color="auto" w:fill="FFFFFF"/>
          <w:lang w:val="en-US"/>
        </w:rPr>
        <w:t xml:space="preserve"> producers have enough fuel. </w:t>
      </w:r>
      <w:r w:rsidR="006C38AA" w:rsidRPr="00673C8B">
        <w:rPr>
          <w:rFonts w:cstheme="minorHAnsi"/>
          <w:color w:val="000000"/>
          <w:shd w:val="clear" w:color="auto" w:fill="FFFFFF"/>
          <w:lang w:val="en-US"/>
        </w:rPr>
        <w:t>However, f</w:t>
      </w:r>
      <w:r w:rsidRPr="00673C8B">
        <w:rPr>
          <w:rFonts w:cstheme="minorHAnsi"/>
          <w:color w:val="000000"/>
          <w:shd w:val="clear" w:color="auto" w:fill="FFFFFF"/>
          <w:lang w:val="en-US"/>
        </w:rPr>
        <w:t>ollowing the resistance on the part of the independent directors, the government allowed the company to decide the penalty amount</w:t>
      </w:r>
      <w:r w:rsidR="006C38AA" w:rsidRPr="00673C8B">
        <w:rPr>
          <w:rFonts w:cstheme="minorHAnsi"/>
          <w:color w:val="000000"/>
          <w:shd w:val="clear" w:color="auto" w:fill="FFFFFF"/>
          <w:lang w:val="en-US"/>
        </w:rPr>
        <w:t xml:space="preserve"> and </w:t>
      </w:r>
      <w:r w:rsidRPr="00673C8B">
        <w:rPr>
          <w:rFonts w:cstheme="minorHAnsi"/>
          <w:color w:val="000000"/>
          <w:shd w:val="clear" w:color="auto" w:fill="FFFFFF"/>
          <w:lang w:val="en-US"/>
        </w:rPr>
        <w:t>the board of CIL</w:t>
      </w:r>
      <w:r w:rsidR="006C38AA" w:rsidRPr="00673C8B">
        <w:rPr>
          <w:rFonts w:cstheme="minorHAnsi"/>
          <w:color w:val="000000"/>
          <w:shd w:val="clear" w:color="auto" w:fill="FFFFFF"/>
          <w:lang w:val="en-US"/>
        </w:rPr>
        <w:t xml:space="preserve"> drastically</w:t>
      </w:r>
      <w:r w:rsidRPr="00673C8B">
        <w:rPr>
          <w:rFonts w:cstheme="minorHAnsi"/>
          <w:color w:val="000000"/>
          <w:shd w:val="clear" w:color="auto" w:fill="FFFFFF"/>
          <w:lang w:val="en-US"/>
        </w:rPr>
        <w:t xml:space="preserve"> reduced the penalty the company w</w:t>
      </w:r>
      <w:r w:rsidR="006C38AA" w:rsidRPr="00673C8B">
        <w:rPr>
          <w:rFonts w:cstheme="minorHAnsi"/>
          <w:color w:val="000000"/>
          <w:shd w:val="clear" w:color="auto" w:fill="FFFFFF"/>
          <w:lang w:val="en-US"/>
        </w:rPr>
        <w:t>ould</w:t>
      </w:r>
      <w:r w:rsidRPr="00673C8B">
        <w:rPr>
          <w:rFonts w:cstheme="minorHAnsi"/>
          <w:color w:val="000000"/>
          <w:shd w:val="clear" w:color="auto" w:fill="FFFFFF"/>
          <w:lang w:val="en-US"/>
        </w:rPr>
        <w:t xml:space="preserve"> incur on any shortfall in fuel supplied to power producers to 0.01% of the </w:t>
      </w:r>
      <w:r w:rsidR="006C38AA" w:rsidRPr="00673C8B">
        <w:rPr>
          <w:rFonts w:cstheme="minorHAnsi"/>
          <w:color w:val="000000"/>
          <w:shd w:val="clear" w:color="auto" w:fill="FFFFFF"/>
          <w:lang w:val="en-US"/>
        </w:rPr>
        <w:t>value of</w:t>
      </w:r>
      <w:r w:rsidR="00896519" w:rsidRPr="00673C8B">
        <w:rPr>
          <w:rFonts w:cstheme="minorHAnsi"/>
          <w:color w:val="000000"/>
          <w:shd w:val="clear" w:color="auto" w:fill="FFFFFF"/>
          <w:lang w:val="en-US"/>
        </w:rPr>
        <w:t xml:space="preserve"> the </w:t>
      </w:r>
      <w:r w:rsidR="006C38AA" w:rsidRPr="00673C8B">
        <w:rPr>
          <w:rFonts w:cstheme="minorHAnsi"/>
          <w:color w:val="000000"/>
          <w:shd w:val="clear" w:color="auto" w:fill="FFFFFF"/>
          <w:lang w:val="en-US"/>
        </w:rPr>
        <w:t>shortfall (if</w:t>
      </w:r>
      <w:r w:rsidR="00896519" w:rsidRPr="00673C8B">
        <w:rPr>
          <w:rFonts w:cstheme="minorHAnsi"/>
          <w:color w:val="000000"/>
          <w:shd w:val="clear" w:color="auto" w:fill="FFFFFF"/>
          <w:lang w:val="en-US"/>
        </w:rPr>
        <w:t xml:space="preserve"> 80% of the agreed coal isn’t supplied</w:t>
      </w:r>
      <w:r w:rsidR="006C38AA" w:rsidRPr="00673C8B">
        <w:rPr>
          <w:rFonts w:cstheme="minorHAnsi"/>
          <w:color w:val="000000"/>
          <w:shd w:val="clear" w:color="auto" w:fill="FFFFFF"/>
          <w:lang w:val="en-US"/>
        </w:rPr>
        <w:t>)</w:t>
      </w:r>
      <w:r w:rsidRPr="00673C8B">
        <w:rPr>
          <w:rFonts w:cstheme="minorHAnsi"/>
          <w:color w:val="000000"/>
          <w:shd w:val="clear" w:color="auto" w:fill="FFFFFF"/>
          <w:lang w:val="en-US"/>
        </w:rPr>
        <w:t xml:space="preserve"> from the earlier proposed 10%.</w:t>
      </w:r>
    </w:p>
    <w:p w:rsidR="00896519" w:rsidRPr="00673C8B" w:rsidRDefault="00896519" w:rsidP="00A802E0">
      <w:pPr>
        <w:spacing w:after="0"/>
        <w:rPr>
          <w:rFonts w:cstheme="minorHAnsi"/>
          <w:color w:val="000000"/>
          <w:shd w:val="clear" w:color="auto" w:fill="FFFFFF"/>
          <w:lang w:val="en-US"/>
        </w:rPr>
      </w:pPr>
    </w:p>
    <w:p w:rsidR="00F759C3" w:rsidRPr="00673C8B" w:rsidRDefault="00F759C3" w:rsidP="005F74C4">
      <w:pPr>
        <w:spacing w:after="0"/>
        <w:rPr>
          <w:rStyle w:val="apple-converted-space"/>
          <w:rFonts w:cstheme="minorHAnsi"/>
          <w:color w:val="000000"/>
          <w:shd w:val="clear" w:color="auto" w:fill="FFFFFF"/>
        </w:rPr>
      </w:pPr>
      <w:r w:rsidRPr="00673C8B">
        <w:rPr>
          <w:rStyle w:val="apple-converted-space"/>
          <w:rFonts w:cstheme="minorHAnsi"/>
          <w:color w:val="000000"/>
          <w:shd w:val="clear" w:color="auto" w:fill="FFFFFF"/>
        </w:rPr>
        <w:t>Subsequently, on 16</w:t>
      </w:r>
      <w:r w:rsidRPr="00673C8B">
        <w:rPr>
          <w:rStyle w:val="apple-converted-space"/>
          <w:rFonts w:cstheme="minorHAnsi"/>
          <w:color w:val="000000"/>
          <w:shd w:val="clear" w:color="auto" w:fill="FFFFFF"/>
          <w:vertAlign w:val="superscript"/>
        </w:rPr>
        <w:t>th</w:t>
      </w:r>
      <w:r w:rsidRPr="00673C8B">
        <w:rPr>
          <w:rStyle w:val="apple-converted-space"/>
          <w:rFonts w:cstheme="minorHAnsi"/>
          <w:color w:val="000000"/>
          <w:shd w:val="clear" w:color="auto" w:fill="FFFFFF"/>
        </w:rPr>
        <w:t xml:space="preserve"> May 2012 TCIF </w:t>
      </w:r>
      <w:r w:rsidR="00C755EB" w:rsidRPr="00673C8B">
        <w:rPr>
          <w:rStyle w:val="apple-converted-space"/>
          <w:rFonts w:cstheme="minorHAnsi"/>
          <w:color w:val="000000"/>
          <w:shd w:val="clear" w:color="auto" w:fill="FFFFFF"/>
        </w:rPr>
        <w:t xml:space="preserve">has </w:t>
      </w:r>
      <w:r w:rsidRPr="00673C8B">
        <w:rPr>
          <w:rStyle w:val="apple-converted-space"/>
          <w:rFonts w:cstheme="minorHAnsi"/>
          <w:color w:val="000000"/>
          <w:shd w:val="clear" w:color="auto" w:fill="FFFFFF"/>
        </w:rPr>
        <w:t xml:space="preserve">sent a written notification to the Government of </w:t>
      </w:r>
      <w:r w:rsidR="00A802E0" w:rsidRPr="00673C8B">
        <w:rPr>
          <w:rStyle w:val="apple-converted-space"/>
          <w:rFonts w:cstheme="minorHAnsi"/>
          <w:color w:val="000000"/>
          <w:shd w:val="clear" w:color="auto" w:fill="FFFFFF"/>
        </w:rPr>
        <w:t>India of</w:t>
      </w:r>
      <w:r w:rsidRPr="00673C8B">
        <w:rPr>
          <w:rStyle w:val="apple-converted-space"/>
          <w:rFonts w:cstheme="minorHAnsi"/>
          <w:color w:val="000000"/>
          <w:shd w:val="clear" w:color="auto" w:fill="FFFFFF"/>
        </w:rPr>
        <w:t xml:space="preserve"> a dispute raised by it under the 2002 agreement between India and Cyprus for the mutual promotion and protection of interest</w:t>
      </w:r>
      <w:r w:rsidR="00B21C51" w:rsidRPr="00673C8B">
        <w:rPr>
          <w:rStyle w:val="FootnoteReference"/>
          <w:rFonts w:cstheme="minorHAnsi"/>
          <w:color w:val="000000"/>
          <w:shd w:val="clear" w:color="auto" w:fill="FFFFFF"/>
        </w:rPr>
        <w:footnoteReference w:id="77"/>
      </w:r>
      <w:r w:rsidRPr="00673C8B">
        <w:rPr>
          <w:rStyle w:val="apple-converted-space"/>
          <w:rFonts w:cstheme="minorHAnsi"/>
          <w:color w:val="000000"/>
          <w:shd w:val="clear" w:color="auto" w:fill="FFFFFF"/>
        </w:rPr>
        <w:t>.</w:t>
      </w:r>
    </w:p>
    <w:p w:rsidR="00BD0B77" w:rsidRPr="00673C8B" w:rsidRDefault="00BD0B77" w:rsidP="005F74C4">
      <w:pPr>
        <w:spacing w:after="0"/>
        <w:rPr>
          <w:rStyle w:val="apple-converted-space"/>
          <w:rFonts w:cstheme="minorHAnsi"/>
          <w:color w:val="000000"/>
          <w:shd w:val="clear" w:color="auto" w:fill="FFFFFF"/>
        </w:rPr>
      </w:pPr>
    </w:p>
    <w:p w:rsidR="00127571" w:rsidRDefault="00F759C3" w:rsidP="005F74C4">
      <w:pPr>
        <w:spacing w:after="0"/>
        <w:rPr>
          <w:b/>
          <w:bCs/>
          <w:lang w:val="en-US"/>
        </w:rPr>
      </w:pPr>
      <w:r>
        <w:rPr>
          <w:b/>
          <w:bCs/>
          <w:lang w:val="en-US"/>
        </w:rPr>
        <w:t xml:space="preserve"> </w:t>
      </w:r>
    </w:p>
    <w:p w:rsidR="00C5504D" w:rsidRPr="0035698D" w:rsidRDefault="001244E5" w:rsidP="005F74C4">
      <w:pPr>
        <w:spacing w:after="0"/>
        <w:rPr>
          <w:u w:val="single"/>
          <w:lang w:val="en-US"/>
        </w:rPr>
      </w:pPr>
      <w:r w:rsidRPr="0035698D">
        <w:rPr>
          <w:b/>
          <w:bCs/>
          <w:u w:val="single"/>
          <w:lang w:val="en-US"/>
        </w:rPr>
        <w:t xml:space="preserve">Gradual Erosion in the value of </w:t>
      </w:r>
      <w:r w:rsidR="005F74C4" w:rsidRPr="0035698D">
        <w:rPr>
          <w:b/>
          <w:bCs/>
          <w:u w:val="single"/>
          <w:lang w:val="en-US"/>
        </w:rPr>
        <w:t>MTNL</w:t>
      </w:r>
      <w:r w:rsidR="005F74C4" w:rsidRPr="0035698D">
        <w:rPr>
          <w:u w:val="single"/>
          <w:lang w:val="en-US"/>
        </w:rPr>
        <w:t xml:space="preserve">: </w:t>
      </w:r>
    </w:p>
    <w:p w:rsidR="00C5504D" w:rsidRDefault="00C5504D" w:rsidP="005F74C4">
      <w:pPr>
        <w:spacing w:after="0"/>
        <w:rPr>
          <w:lang w:val="en-US"/>
        </w:rPr>
      </w:pPr>
    </w:p>
    <w:p w:rsidR="00F15B99" w:rsidRDefault="00C5504D" w:rsidP="005F74C4">
      <w:pPr>
        <w:spacing w:after="0"/>
        <w:rPr>
          <w:lang w:val="en-US"/>
        </w:rPr>
      </w:pPr>
      <w:r>
        <w:rPr>
          <w:lang w:val="en-US"/>
        </w:rPr>
        <w:t>From 1992</w:t>
      </w:r>
      <w:r w:rsidR="00F15B99">
        <w:rPr>
          <w:lang w:val="en-US"/>
        </w:rPr>
        <w:t>,</w:t>
      </w:r>
      <w:r>
        <w:rPr>
          <w:lang w:val="en-US"/>
        </w:rPr>
        <w:t xml:space="preserve"> as a </w:t>
      </w:r>
      <w:r w:rsidR="00CC0223">
        <w:rPr>
          <w:lang w:val="en-US"/>
        </w:rPr>
        <w:t>part</w:t>
      </w:r>
      <w:r>
        <w:rPr>
          <w:lang w:val="en-US"/>
        </w:rPr>
        <w:t xml:space="preserve"> of its policy of gradually reducing its </w:t>
      </w:r>
      <w:r w:rsidR="00CC0223">
        <w:rPr>
          <w:lang w:val="en-US"/>
        </w:rPr>
        <w:t>shareholding</w:t>
      </w:r>
      <w:r>
        <w:rPr>
          <w:lang w:val="en-US"/>
        </w:rPr>
        <w:t xml:space="preserve"> in SOEs, the Government of India gradually started divesting its holding in Mahanagar Telephone Nigam </w:t>
      </w:r>
      <w:r w:rsidR="00CC0223">
        <w:rPr>
          <w:lang w:val="en-US"/>
        </w:rPr>
        <w:t>L</w:t>
      </w:r>
      <w:r>
        <w:rPr>
          <w:lang w:val="en-US"/>
        </w:rPr>
        <w:t>imited</w:t>
      </w:r>
      <w:r w:rsidR="00CC0223">
        <w:rPr>
          <w:lang w:val="en-US"/>
        </w:rPr>
        <w:t xml:space="preserve"> (MTNL) – the current government holding in MTNL is</w:t>
      </w:r>
      <w:r w:rsidR="00C755EB">
        <w:rPr>
          <w:lang w:val="en-US"/>
        </w:rPr>
        <w:t xml:space="preserve"> 56.25%.</w:t>
      </w:r>
      <w:r w:rsidR="00F15B99">
        <w:rPr>
          <w:lang w:val="en-US"/>
        </w:rPr>
        <w:t xml:space="preserve"> </w:t>
      </w:r>
      <w:r w:rsidR="001244E5">
        <w:rPr>
          <w:lang w:val="en-US"/>
        </w:rPr>
        <w:t xml:space="preserve"> MTNL is the service provider in Delhi and Mumbai while Bharat Sanchar Nigam Ltd. (a 100% GOI owned SOE) is the service provider in the rest of the country </w:t>
      </w:r>
    </w:p>
    <w:p w:rsidR="00F15B99" w:rsidRDefault="00F15B99" w:rsidP="005F74C4">
      <w:pPr>
        <w:spacing w:after="0"/>
        <w:rPr>
          <w:lang w:val="en-US"/>
        </w:rPr>
      </w:pPr>
    </w:p>
    <w:p w:rsidR="00C5504D" w:rsidRDefault="00F15B99" w:rsidP="005F74C4">
      <w:pPr>
        <w:spacing w:after="0"/>
        <w:rPr>
          <w:lang w:val="en-US"/>
        </w:rPr>
      </w:pPr>
      <w:r>
        <w:rPr>
          <w:lang w:val="en-US"/>
        </w:rPr>
        <w:lastRenderedPageBreak/>
        <w:t xml:space="preserve">Unfortunately the absence of a suitable corporate governance mechanism to cope with a fiercely competitive market that is characterized by fierce competition has resulted in gradual and slow erosion of the value of MTNL – as reflected in the slow and gradual decline of its share </w:t>
      </w:r>
      <w:r w:rsidR="001244E5">
        <w:rPr>
          <w:lang w:val="en-US"/>
        </w:rPr>
        <w:t>price; much</w:t>
      </w:r>
      <w:r>
        <w:rPr>
          <w:lang w:val="en-US"/>
        </w:rPr>
        <w:t xml:space="preserve"> to the detriment of its shareholders.</w:t>
      </w:r>
    </w:p>
    <w:p w:rsidR="00F15B99" w:rsidRDefault="00F15B99" w:rsidP="005F74C4">
      <w:pPr>
        <w:spacing w:after="0"/>
        <w:rPr>
          <w:lang w:val="en-US"/>
        </w:rPr>
      </w:pPr>
    </w:p>
    <w:tbl>
      <w:tblPr>
        <w:tblW w:w="2418" w:type="dxa"/>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58"/>
      </w:tblGrid>
      <w:tr w:rsidR="00F15B99" w:rsidRPr="00F15B99" w:rsidTr="00195E95">
        <w:trPr>
          <w:trHeight w:val="300"/>
        </w:trPr>
        <w:tc>
          <w:tcPr>
            <w:tcW w:w="960" w:type="dxa"/>
            <w:shd w:val="clear" w:color="auto" w:fill="auto"/>
            <w:noWrap/>
            <w:vAlign w:val="bottom"/>
            <w:hideMark/>
          </w:tcPr>
          <w:p w:rsidR="00F15B99" w:rsidRPr="00195E95" w:rsidRDefault="00F15B99" w:rsidP="00F15B99">
            <w:pPr>
              <w:spacing w:after="0" w:line="240" w:lineRule="auto"/>
              <w:jc w:val="center"/>
              <w:rPr>
                <w:rFonts w:ascii="Calibri" w:eastAsia="Times New Roman" w:hAnsi="Calibri" w:cs="Calibri"/>
                <w:b/>
                <w:color w:val="000000"/>
                <w:u w:val="single"/>
                <w:lang w:val="en-US" w:eastAsia="en-US"/>
              </w:rPr>
            </w:pPr>
            <w:r w:rsidRPr="00195E95">
              <w:rPr>
                <w:rFonts w:ascii="Calibri" w:eastAsia="Times New Roman" w:hAnsi="Calibri" w:cs="Calibri"/>
                <w:b/>
                <w:color w:val="000000"/>
                <w:u w:val="single"/>
                <w:lang w:val="en-US" w:eastAsia="en-US"/>
              </w:rPr>
              <w:t>Year</w:t>
            </w:r>
          </w:p>
        </w:tc>
        <w:tc>
          <w:tcPr>
            <w:tcW w:w="1458" w:type="dxa"/>
            <w:shd w:val="clear" w:color="auto" w:fill="auto"/>
            <w:noWrap/>
            <w:vAlign w:val="bottom"/>
            <w:hideMark/>
          </w:tcPr>
          <w:p w:rsidR="00F15B99" w:rsidRPr="00195E95" w:rsidRDefault="00F15B99" w:rsidP="00F15B99">
            <w:pPr>
              <w:spacing w:after="0" w:line="240" w:lineRule="auto"/>
              <w:jc w:val="center"/>
              <w:rPr>
                <w:rFonts w:ascii="Calibri" w:eastAsia="Times New Roman" w:hAnsi="Calibri" w:cs="Calibri"/>
                <w:b/>
                <w:color w:val="000000"/>
                <w:u w:val="single"/>
                <w:lang w:val="en-US" w:eastAsia="en-US"/>
              </w:rPr>
            </w:pPr>
            <w:r w:rsidRPr="00195E95">
              <w:rPr>
                <w:rFonts w:ascii="Calibri" w:eastAsia="Times New Roman" w:hAnsi="Calibri" w:cs="Calibri"/>
                <w:b/>
                <w:color w:val="000000"/>
                <w:u w:val="single"/>
                <w:lang w:val="en-US" w:eastAsia="en-US"/>
              </w:rPr>
              <w:t>Closing Price*</w:t>
            </w:r>
          </w:p>
          <w:p w:rsidR="00F15B99" w:rsidRPr="00195E95" w:rsidRDefault="00F15B99" w:rsidP="00F15B99">
            <w:pPr>
              <w:spacing w:after="0" w:line="240" w:lineRule="auto"/>
              <w:jc w:val="center"/>
              <w:rPr>
                <w:rFonts w:ascii="Calibri" w:eastAsia="Times New Roman" w:hAnsi="Calibri" w:cs="Calibri"/>
                <w:b/>
                <w:color w:val="000000"/>
                <w:lang w:val="en-US" w:eastAsia="en-US"/>
              </w:rPr>
            </w:pPr>
            <w:r w:rsidRPr="00195E95">
              <w:rPr>
                <w:rFonts w:ascii="Calibri" w:eastAsia="Times New Roman" w:hAnsi="Calibri" w:cs="Calibri"/>
                <w:b/>
                <w:color w:val="000000"/>
                <w:u w:val="single"/>
                <w:lang w:val="en-US" w:eastAsia="en-US"/>
              </w:rPr>
              <w:t>-in Rs.</w:t>
            </w:r>
          </w:p>
        </w:tc>
      </w:tr>
      <w:tr w:rsidR="00F15B99" w:rsidRPr="00F15B99" w:rsidTr="00195E95">
        <w:trPr>
          <w:trHeight w:val="300"/>
        </w:trPr>
        <w:tc>
          <w:tcPr>
            <w:tcW w:w="960" w:type="dxa"/>
            <w:shd w:val="clear" w:color="auto" w:fill="auto"/>
            <w:noWrap/>
            <w:vAlign w:val="bottom"/>
            <w:hideMark/>
          </w:tcPr>
          <w:p w:rsidR="00F15B99" w:rsidRDefault="00F15B99" w:rsidP="00F15B99">
            <w:pPr>
              <w:spacing w:after="0" w:line="240" w:lineRule="auto"/>
              <w:jc w:val="center"/>
              <w:rPr>
                <w:rFonts w:ascii="Calibri" w:eastAsia="Times New Roman" w:hAnsi="Calibri" w:cs="Calibri"/>
                <w:color w:val="000000"/>
                <w:lang w:val="en-US" w:eastAsia="en-US"/>
              </w:rPr>
            </w:pPr>
          </w:p>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1995</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150</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1996</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237</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1997</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258</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1998</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183.2</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1998</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181.5</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1999</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193</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1999</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188</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2000</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179.1</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2000</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166</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2001</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126.25</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2001</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126.65</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2002</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94.85</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2003</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137.7</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2004</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154.9</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2005</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144.2</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2006</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142.85</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2007</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192.3</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2008</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79.05</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2009</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73.75</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2010</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54.85</w:t>
            </w:r>
          </w:p>
        </w:tc>
      </w:tr>
      <w:tr w:rsidR="00F15B99" w:rsidRPr="00F15B99" w:rsidTr="00195E95">
        <w:trPr>
          <w:trHeight w:val="300"/>
        </w:trPr>
        <w:tc>
          <w:tcPr>
            <w:tcW w:w="960"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2011</w:t>
            </w:r>
          </w:p>
        </w:tc>
        <w:tc>
          <w:tcPr>
            <w:tcW w:w="1458" w:type="dxa"/>
            <w:shd w:val="clear" w:color="auto" w:fill="auto"/>
            <w:noWrap/>
            <w:vAlign w:val="bottom"/>
            <w:hideMark/>
          </w:tcPr>
          <w:p w:rsidR="00F15B99" w:rsidRPr="00F15B99" w:rsidRDefault="00F15B99" w:rsidP="00F15B99">
            <w:pPr>
              <w:spacing w:after="0" w:line="240" w:lineRule="auto"/>
              <w:jc w:val="center"/>
              <w:rPr>
                <w:rFonts w:ascii="Calibri" w:eastAsia="Times New Roman" w:hAnsi="Calibri" w:cs="Calibri"/>
                <w:color w:val="000000"/>
                <w:lang w:val="en-US" w:eastAsia="en-US"/>
              </w:rPr>
            </w:pPr>
            <w:r w:rsidRPr="00F15B99">
              <w:rPr>
                <w:rFonts w:ascii="Calibri" w:eastAsia="Times New Roman" w:hAnsi="Calibri" w:cs="Calibri"/>
                <w:color w:val="000000"/>
                <w:lang w:val="en-US" w:eastAsia="en-US"/>
              </w:rPr>
              <w:t>22.7</w:t>
            </w:r>
          </w:p>
        </w:tc>
      </w:tr>
    </w:tbl>
    <w:p w:rsidR="00F15B99" w:rsidRDefault="00F15B99" w:rsidP="005F74C4">
      <w:pPr>
        <w:spacing w:after="0"/>
        <w:rPr>
          <w:lang w:val="en-US"/>
        </w:rPr>
      </w:pPr>
    </w:p>
    <w:p w:rsidR="00C5504D" w:rsidRDefault="00F15B99" w:rsidP="005F74C4">
      <w:pPr>
        <w:spacing w:after="0"/>
        <w:rPr>
          <w:lang w:val="en-US"/>
        </w:rPr>
      </w:pPr>
      <w:r>
        <w:rPr>
          <w:lang w:val="en-US"/>
        </w:rPr>
        <w:t>* Source</w:t>
      </w:r>
      <w:r w:rsidRPr="008D62D4">
        <w:rPr>
          <w:lang w:val="en-US"/>
        </w:rPr>
        <w:t xml:space="preserve">: </w:t>
      </w:r>
      <w:r w:rsidR="008D62D4" w:rsidRPr="008D62D4">
        <w:rPr>
          <w:lang w:val="en-US"/>
        </w:rPr>
        <w:t xml:space="preserve"> </w:t>
      </w:r>
      <w:hyperlink r:id="rId12" w:history="1">
        <w:r w:rsidR="008D62D4" w:rsidRPr="008D62D4">
          <w:rPr>
            <w:rStyle w:val="Hyperlink"/>
            <w:u w:val="none"/>
          </w:rPr>
          <w:t>http://www.bseindia.com/stockinfo/stockprc2.aspx?scripcode=500108&amp;flag=sp&amp;Submit=G</w:t>
        </w:r>
      </w:hyperlink>
    </w:p>
    <w:p w:rsidR="00C5504D" w:rsidRDefault="00C5504D" w:rsidP="005F74C4">
      <w:pPr>
        <w:spacing w:after="0"/>
        <w:rPr>
          <w:lang w:val="en-US"/>
        </w:rPr>
      </w:pPr>
    </w:p>
    <w:p w:rsidR="00AB4AE5" w:rsidRDefault="001244E5" w:rsidP="005F74C4">
      <w:pPr>
        <w:spacing w:after="0"/>
        <w:rPr>
          <w:lang w:val="en-US"/>
        </w:rPr>
      </w:pPr>
      <w:r>
        <w:rPr>
          <w:lang w:val="en-US"/>
        </w:rPr>
        <w:t>Over the years there have been many diverse proposals regarding the future strategy for MTNL and BSNL</w:t>
      </w:r>
      <w:r w:rsidR="00195E95">
        <w:rPr>
          <w:lang w:val="en-US"/>
        </w:rPr>
        <w:t xml:space="preserve"> viz.</w:t>
      </w:r>
      <w:r>
        <w:rPr>
          <w:lang w:val="en-US"/>
        </w:rPr>
        <w:t xml:space="preserve"> merging of MTNL and BSNL; a 10%  initial public offering in BSNL ;creating a holding company for MTNL and BSNL . </w:t>
      </w:r>
      <w:r w:rsidR="00AB4AE5">
        <w:rPr>
          <w:lang w:val="en-US"/>
        </w:rPr>
        <w:t>However none of these alternatives or combinations were pursued with any degree of seriousness; on the other hand</w:t>
      </w:r>
      <w:r w:rsidR="00195E95">
        <w:rPr>
          <w:lang w:val="en-US"/>
        </w:rPr>
        <w:t xml:space="preserve">, </w:t>
      </w:r>
      <w:r w:rsidR="00195E95" w:rsidRPr="005F74C4">
        <w:rPr>
          <w:lang w:val="en-US"/>
        </w:rPr>
        <w:t>ill</w:t>
      </w:r>
      <w:r w:rsidR="00AB4AE5" w:rsidRPr="005F74C4">
        <w:rPr>
          <w:lang w:val="en-US"/>
        </w:rPr>
        <w:t>-advised announcement of a possible merger with Bharat Sanchar Nigam Ltd (BSNL)</w:t>
      </w:r>
      <w:r w:rsidR="00AB4AE5">
        <w:rPr>
          <w:lang w:val="en-US"/>
        </w:rPr>
        <w:t xml:space="preserve"> have serious dented the value of MTNL on account of the fear that such a </w:t>
      </w:r>
      <w:r w:rsidR="00195E95">
        <w:rPr>
          <w:lang w:val="en-US"/>
        </w:rPr>
        <w:t xml:space="preserve">merger </w:t>
      </w:r>
      <w:r w:rsidR="00195E95" w:rsidRPr="005F74C4">
        <w:rPr>
          <w:lang w:val="en-US"/>
        </w:rPr>
        <w:t>would</w:t>
      </w:r>
      <w:r w:rsidR="00AB4AE5" w:rsidRPr="005F74C4">
        <w:rPr>
          <w:lang w:val="en-US"/>
        </w:rPr>
        <w:t xml:space="preserve"> mean dropping MTNL into an ocean as BSNL is far bigger in size and MTNL's shareholders would get a raw deal if the merger happens</w:t>
      </w:r>
      <w:r w:rsidR="00AB4AE5">
        <w:rPr>
          <w:rStyle w:val="FootnoteReference"/>
          <w:lang w:val="en-US"/>
        </w:rPr>
        <w:footnoteReference w:id="78"/>
      </w:r>
      <w:r w:rsidR="00AB4AE5" w:rsidRPr="005F74C4">
        <w:rPr>
          <w:lang w:val="en-US"/>
        </w:rPr>
        <w:t>.</w:t>
      </w:r>
    </w:p>
    <w:p w:rsidR="00D82AAC" w:rsidRPr="00D82AAC" w:rsidRDefault="00D82AAC" w:rsidP="00D82AAC">
      <w:pPr>
        <w:spacing w:after="0" w:line="240" w:lineRule="auto"/>
        <w:rPr>
          <w:rFonts w:ascii="Arial" w:eastAsia="Times New Roman" w:hAnsi="Arial" w:cs="Arial"/>
          <w:color w:val="000000"/>
          <w:sz w:val="18"/>
          <w:szCs w:val="18"/>
          <w:lang w:val="en-US" w:eastAsia="en-US"/>
        </w:rPr>
      </w:pPr>
    </w:p>
    <w:p w:rsidR="00C755EB" w:rsidRDefault="00C755EB" w:rsidP="00C755EB">
      <w:pPr>
        <w:spacing w:after="0"/>
        <w:rPr>
          <w:rFonts w:eastAsia="Times New Roman" w:cstheme="minorHAnsi"/>
          <w:color w:val="000000"/>
          <w:lang w:val="en-US" w:eastAsia="en-US"/>
        </w:rPr>
      </w:pPr>
      <w:r>
        <w:rPr>
          <w:rFonts w:eastAsia="Times New Roman" w:cstheme="minorHAnsi"/>
          <w:color w:val="000000"/>
          <w:lang w:val="en-US" w:eastAsia="en-US"/>
        </w:rPr>
        <w:t xml:space="preserve">From a </w:t>
      </w:r>
      <w:r w:rsidR="00673C8B">
        <w:rPr>
          <w:rFonts w:eastAsia="Times New Roman" w:cstheme="minorHAnsi"/>
          <w:color w:val="000000"/>
          <w:lang w:val="en-US" w:eastAsia="en-US"/>
        </w:rPr>
        <w:t xml:space="preserve">once </w:t>
      </w:r>
      <w:r>
        <w:rPr>
          <w:rFonts w:eastAsia="Times New Roman" w:cstheme="minorHAnsi"/>
          <w:color w:val="000000"/>
          <w:lang w:val="en-US" w:eastAsia="en-US"/>
        </w:rPr>
        <w:t>very profitable business in a monopoly market</w:t>
      </w:r>
      <w:r w:rsidR="00673C8B">
        <w:rPr>
          <w:rFonts w:eastAsia="Times New Roman" w:cstheme="minorHAnsi"/>
          <w:color w:val="000000"/>
          <w:lang w:val="en-US" w:eastAsia="en-US"/>
        </w:rPr>
        <w:t>,</w:t>
      </w:r>
      <w:r>
        <w:rPr>
          <w:rFonts w:eastAsia="Times New Roman" w:cstheme="minorHAnsi"/>
          <w:color w:val="000000"/>
          <w:lang w:val="en-US" w:eastAsia="en-US"/>
        </w:rPr>
        <w:t xml:space="preserve"> today MTNL finds itself unable to compete with its nimble competitors as is reflected in its performance parameters as compared to its private sector counterparts.</w:t>
      </w:r>
    </w:p>
    <w:p w:rsidR="00C755EB" w:rsidRDefault="00C755EB" w:rsidP="00C755EB">
      <w:pPr>
        <w:spacing w:after="0"/>
        <w:rPr>
          <w:rFonts w:eastAsia="Times New Roman" w:cstheme="minorHAnsi"/>
          <w:color w:val="000000"/>
          <w:lang w:val="en-US" w:eastAsia="en-US"/>
        </w:rPr>
      </w:pPr>
    </w:p>
    <w:p w:rsidR="00C755EB" w:rsidRPr="00A4583F" w:rsidRDefault="00A4583F" w:rsidP="00C755EB">
      <w:pPr>
        <w:spacing w:after="0"/>
        <w:rPr>
          <w:rFonts w:eastAsia="Times New Roman" w:cstheme="minorHAnsi"/>
          <w:b/>
          <w:color w:val="000000"/>
          <w:u w:val="single"/>
          <w:lang w:val="en-US" w:eastAsia="en-US"/>
        </w:rPr>
      </w:pPr>
      <w:r w:rsidRPr="00A4583F">
        <w:rPr>
          <w:rFonts w:eastAsia="Times New Roman" w:cstheme="minorHAnsi"/>
          <w:b/>
          <w:color w:val="000000"/>
          <w:lang w:val="en-US" w:eastAsia="en-US"/>
        </w:rPr>
        <w:t xml:space="preserve">                                                                                              </w:t>
      </w:r>
      <w:r w:rsidR="0035698D" w:rsidRPr="0035698D">
        <w:rPr>
          <w:rFonts w:eastAsia="Times New Roman" w:cstheme="minorHAnsi"/>
          <w:b/>
          <w:color w:val="000000"/>
          <w:u w:val="single"/>
          <w:lang w:val="en-US" w:eastAsia="en-US"/>
        </w:rPr>
        <w:t xml:space="preserve">MTNL </w:t>
      </w:r>
      <w:r w:rsidRPr="00A4583F">
        <w:rPr>
          <w:rFonts w:eastAsia="Times New Roman" w:cstheme="minorHAnsi"/>
          <w:b/>
          <w:color w:val="000000"/>
          <w:u w:val="single"/>
          <w:lang w:val="en-US" w:eastAsia="en-US"/>
        </w:rPr>
        <w:t>Peer Group Performance</w:t>
      </w:r>
      <w:r>
        <w:rPr>
          <w:rFonts w:eastAsia="Times New Roman" w:cstheme="minorHAnsi"/>
          <w:b/>
          <w:color w:val="000000"/>
          <w:u w:val="single"/>
          <w:lang w:val="en-US" w:eastAsia="en-US"/>
        </w:rPr>
        <w:t>*</w:t>
      </w:r>
    </w:p>
    <w:tbl>
      <w:tblPr>
        <w:tblStyle w:val="TableGrid"/>
        <w:tblW w:w="0" w:type="auto"/>
        <w:tblInd w:w="945" w:type="dxa"/>
        <w:tblLayout w:type="fixed"/>
        <w:tblLook w:val="04A0"/>
      </w:tblPr>
      <w:tblGrid>
        <w:gridCol w:w="2583"/>
        <w:gridCol w:w="1260"/>
        <w:gridCol w:w="1530"/>
        <w:gridCol w:w="1800"/>
        <w:gridCol w:w="1530"/>
      </w:tblGrid>
      <w:tr w:rsidR="00C755EB" w:rsidTr="0035698D">
        <w:tc>
          <w:tcPr>
            <w:tcW w:w="2583" w:type="dxa"/>
          </w:tcPr>
          <w:p w:rsidR="00A4583F" w:rsidRPr="00A4583F" w:rsidRDefault="00C755EB" w:rsidP="00A4583F">
            <w:pPr>
              <w:jc w:val="center"/>
              <w:rPr>
                <w:rFonts w:eastAsia="Times New Roman" w:cstheme="minorHAnsi"/>
                <w:b/>
                <w:color w:val="000000"/>
                <w:u w:val="single"/>
                <w:lang w:val="en-US" w:eastAsia="en-US"/>
              </w:rPr>
            </w:pPr>
            <w:r w:rsidRPr="00A4583F">
              <w:rPr>
                <w:rFonts w:eastAsia="Times New Roman" w:cstheme="minorHAnsi"/>
                <w:b/>
                <w:color w:val="000000"/>
                <w:u w:val="single"/>
                <w:lang w:val="en-US" w:eastAsia="en-US"/>
              </w:rPr>
              <w:t>Results</w:t>
            </w:r>
          </w:p>
          <w:p w:rsidR="00C755EB" w:rsidRPr="00A4583F" w:rsidRDefault="00C755EB" w:rsidP="00A4583F">
            <w:pPr>
              <w:jc w:val="center"/>
              <w:rPr>
                <w:rFonts w:eastAsia="Times New Roman" w:cstheme="minorHAnsi"/>
                <w:b/>
                <w:color w:val="000000"/>
                <w:u w:val="single"/>
                <w:lang w:val="en-US" w:eastAsia="en-US"/>
              </w:rPr>
            </w:pPr>
          </w:p>
        </w:tc>
        <w:tc>
          <w:tcPr>
            <w:tcW w:w="1260" w:type="dxa"/>
          </w:tcPr>
          <w:p w:rsidR="00C755EB" w:rsidRPr="00A4583F" w:rsidRDefault="00C755EB" w:rsidP="00A4583F">
            <w:pPr>
              <w:jc w:val="center"/>
              <w:rPr>
                <w:rFonts w:eastAsia="Times New Roman" w:cstheme="minorHAnsi"/>
                <w:b/>
                <w:color w:val="000000"/>
                <w:u w:val="single"/>
                <w:lang w:val="en-US" w:eastAsia="en-US"/>
              </w:rPr>
            </w:pPr>
            <w:r w:rsidRPr="00A4583F">
              <w:rPr>
                <w:rFonts w:eastAsia="Times New Roman" w:cstheme="minorHAnsi"/>
                <w:b/>
                <w:color w:val="000000"/>
                <w:u w:val="single"/>
                <w:lang w:val="en-US" w:eastAsia="en-US"/>
              </w:rPr>
              <w:t>MTNL</w:t>
            </w:r>
          </w:p>
        </w:tc>
        <w:tc>
          <w:tcPr>
            <w:tcW w:w="1530" w:type="dxa"/>
          </w:tcPr>
          <w:p w:rsidR="00C755EB" w:rsidRPr="00A4583F" w:rsidRDefault="00C755EB" w:rsidP="00B82527">
            <w:pPr>
              <w:jc w:val="center"/>
              <w:rPr>
                <w:rFonts w:eastAsia="Times New Roman" w:cstheme="minorHAnsi"/>
                <w:b/>
                <w:color w:val="000000"/>
                <w:u w:val="single"/>
                <w:lang w:val="en-US" w:eastAsia="en-US"/>
              </w:rPr>
            </w:pPr>
            <w:r w:rsidRPr="00A4583F">
              <w:rPr>
                <w:rFonts w:eastAsia="Times New Roman" w:cstheme="minorHAnsi"/>
                <w:b/>
                <w:color w:val="000000"/>
                <w:u w:val="single"/>
                <w:lang w:val="en-US" w:eastAsia="en-US"/>
              </w:rPr>
              <w:t>Bharti Airtel</w:t>
            </w:r>
          </w:p>
        </w:tc>
        <w:tc>
          <w:tcPr>
            <w:tcW w:w="1800" w:type="dxa"/>
          </w:tcPr>
          <w:p w:rsidR="00C755EB" w:rsidRPr="00A4583F" w:rsidRDefault="00C755EB" w:rsidP="00A4583F">
            <w:pPr>
              <w:jc w:val="center"/>
              <w:rPr>
                <w:rFonts w:eastAsia="Times New Roman" w:cstheme="minorHAnsi"/>
                <w:b/>
                <w:color w:val="000000"/>
                <w:u w:val="single"/>
                <w:lang w:val="en-US" w:eastAsia="en-US"/>
              </w:rPr>
            </w:pPr>
            <w:r w:rsidRPr="00A4583F">
              <w:rPr>
                <w:rFonts w:eastAsia="Times New Roman" w:cstheme="minorHAnsi"/>
                <w:b/>
                <w:color w:val="000000"/>
                <w:u w:val="single"/>
                <w:lang w:val="en-US" w:eastAsia="en-US"/>
              </w:rPr>
              <w:t>Reliance Communications</w:t>
            </w:r>
          </w:p>
        </w:tc>
        <w:tc>
          <w:tcPr>
            <w:tcW w:w="1530" w:type="dxa"/>
          </w:tcPr>
          <w:p w:rsidR="00C755EB" w:rsidRPr="00A4583F" w:rsidRDefault="00C755EB" w:rsidP="00A4583F">
            <w:pPr>
              <w:jc w:val="center"/>
              <w:rPr>
                <w:rFonts w:eastAsia="Times New Roman" w:cstheme="minorHAnsi"/>
                <w:b/>
                <w:color w:val="000000"/>
                <w:u w:val="single"/>
                <w:lang w:val="en-US" w:eastAsia="en-US"/>
              </w:rPr>
            </w:pPr>
            <w:r w:rsidRPr="00A4583F">
              <w:rPr>
                <w:rFonts w:eastAsia="Times New Roman" w:cstheme="minorHAnsi"/>
                <w:b/>
                <w:color w:val="000000"/>
                <w:u w:val="single"/>
                <w:lang w:val="en-US" w:eastAsia="en-US"/>
              </w:rPr>
              <w:t>Tata Teleservices</w:t>
            </w:r>
          </w:p>
        </w:tc>
      </w:tr>
      <w:tr w:rsidR="00C755EB" w:rsidTr="0035698D">
        <w:trPr>
          <w:trHeight w:val="323"/>
        </w:trPr>
        <w:tc>
          <w:tcPr>
            <w:tcW w:w="2583" w:type="dxa"/>
          </w:tcPr>
          <w:p w:rsidR="00A4583F" w:rsidRDefault="00A4583F" w:rsidP="0035698D">
            <w:pPr>
              <w:rPr>
                <w:rFonts w:eastAsia="Times New Roman" w:cstheme="minorHAnsi"/>
                <w:color w:val="000000"/>
                <w:lang w:val="en-US" w:eastAsia="en-US"/>
              </w:rPr>
            </w:pPr>
            <w:r>
              <w:rPr>
                <w:rFonts w:eastAsia="Times New Roman" w:cstheme="minorHAnsi"/>
                <w:color w:val="000000"/>
                <w:lang w:val="en-US" w:eastAsia="en-US"/>
              </w:rPr>
              <w:t>SALES</w:t>
            </w:r>
            <w:r w:rsidR="0035698D" w:rsidRPr="0035698D">
              <w:rPr>
                <w:rFonts w:eastAsia="Times New Roman" w:cstheme="minorHAnsi"/>
                <w:color w:val="000000"/>
                <w:lang w:val="en-US" w:eastAsia="en-US"/>
              </w:rPr>
              <w:t>- in Rs Millions</w:t>
            </w:r>
          </w:p>
        </w:tc>
        <w:tc>
          <w:tcPr>
            <w:tcW w:w="126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8430.6</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107,572</w:t>
            </w:r>
          </w:p>
        </w:tc>
        <w:tc>
          <w:tcPr>
            <w:tcW w:w="180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26,450</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6515.1</w:t>
            </w:r>
          </w:p>
        </w:tc>
      </w:tr>
      <w:tr w:rsidR="00C755EB" w:rsidTr="0035698D">
        <w:tc>
          <w:tcPr>
            <w:tcW w:w="2583" w:type="dxa"/>
          </w:tcPr>
          <w:p w:rsidR="00C755EB" w:rsidRPr="0035698D" w:rsidRDefault="00A4583F" w:rsidP="00A4583F">
            <w:pPr>
              <w:rPr>
                <w:rFonts w:eastAsia="Times New Roman" w:cstheme="minorHAnsi"/>
                <w:color w:val="000000"/>
                <w:lang w:val="en-US" w:eastAsia="en-US"/>
              </w:rPr>
            </w:pPr>
            <w:r w:rsidRPr="0035698D">
              <w:rPr>
                <w:rFonts w:eastAsia="Times New Roman" w:cstheme="minorHAnsi"/>
                <w:color w:val="000000"/>
                <w:lang w:val="en-US" w:eastAsia="en-US"/>
              </w:rPr>
              <w:t>PAT</w:t>
            </w:r>
            <w:r w:rsidR="0035698D" w:rsidRPr="0035698D">
              <w:rPr>
                <w:rFonts w:eastAsia="Times New Roman" w:cstheme="minorHAnsi"/>
                <w:color w:val="000000"/>
                <w:lang w:val="en-US" w:eastAsia="en-US"/>
              </w:rPr>
              <w:t xml:space="preserve"> - in Rs Millions</w:t>
            </w:r>
          </w:p>
        </w:tc>
        <w:tc>
          <w:tcPr>
            <w:tcW w:w="126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- 13,744.45</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15,743</w:t>
            </w:r>
          </w:p>
        </w:tc>
        <w:tc>
          <w:tcPr>
            <w:tcW w:w="180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8,040</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- 1,234</w:t>
            </w:r>
          </w:p>
        </w:tc>
      </w:tr>
      <w:tr w:rsidR="00C755EB" w:rsidTr="0035698D">
        <w:tc>
          <w:tcPr>
            <w:tcW w:w="2583" w:type="dxa"/>
          </w:tcPr>
          <w:p w:rsidR="00C755EB" w:rsidRDefault="00A4583F" w:rsidP="00A4583F">
            <w:pPr>
              <w:rPr>
                <w:rFonts w:eastAsia="Times New Roman" w:cstheme="minorHAnsi"/>
                <w:color w:val="000000"/>
                <w:lang w:val="en-US" w:eastAsia="en-US"/>
              </w:rPr>
            </w:pPr>
            <w:r>
              <w:rPr>
                <w:rFonts w:eastAsia="Times New Roman" w:cstheme="minorHAnsi"/>
                <w:color w:val="000000"/>
                <w:lang w:val="en-US" w:eastAsia="en-US"/>
              </w:rPr>
              <w:t>Operating Profit Margin%</w:t>
            </w:r>
          </w:p>
        </w:tc>
        <w:tc>
          <w:tcPr>
            <w:tcW w:w="126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-81.13</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34.36</w:t>
            </w:r>
          </w:p>
        </w:tc>
        <w:tc>
          <w:tcPr>
            <w:tcW w:w="180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65.22</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22.61</w:t>
            </w:r>
          </w:p>
        </w:tc>
      </w:tr>
      <w:tr w:rsidR="00C755EB" w:rsidTr="0035698D">
        <w:tc>
          <w:tcPr>
            <w:tcW w:w="2583" w:type="dxa"/>
          </w:tcPr>
          <w:p w:rsidR="00C755EB" w:rsidRDefault="00A4583F" w:rsidP="00A4583F">
            <w:pPr>
              <w:rPr>
                <w:rFonts w:eastAsia="Times New Roman" w:cstheme="minorHAnsi"/>
                <w:color w:val="000000"/>
                <w:lang w:val="en-US" w:eastAsia="en-US"/>
              </w:rPr>
            </w:pPr>
            <w:r>
              <w:rPr>
                <w:rFonts w:eastAsia="Times New Roman" w:cstheme="minorHAnsi"/>
                <w:color w:val="000000"/>
                <w:lang w:val="en-US" w:eastAsia="en-US"/>
              </w:rPr>
              <w:t>Net Profit Margin %</w:t>
            </w:r>
          </w:p>
        </w:tc>
        <w:tc>
          <w:tcPr>
            <w:tcW w:w="126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-163.03</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14.63</w:t>
            </w:r>
          </w:p>
        </w:tc>
        <w:tc>
          <w:tcPr>
            <w:tcW w:w="180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30.40</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-18.94</w:t>
            </w:r>
          </w:p>
        </w:tc>
      </w:tr>
      <w:tr w:rsidR="00C755EB" w:rsidTr="0035698D">
        <w:tc>
          <w:tcPr>
            <w:tcW w:w="2583" w:type="dxa"/>
          </w:tcPr>
          <w:p w:rsidR="00C755EB" w:rsidRDefault="00A4583F" w:rsidP="00A4583F">
            <w:pPr>
              <w:rPr>
                <w:rFonts w:eastAsia="Times New Roman" w:cstheme="minorHAnsi"/>
                <w:color w:val="000000"/>
                <w:lang w:val="en-US" w:eastAsia="en-US"/>
              </w:rPr>
            </w:pPr>
            <w:r>
              <w:rPr>
                <w:rFonts w:eastAsia="Times New Roman" w:cstheme="minorHAnsi"/>
                <w:color w:val="000000"/>
                <w:lang w:val="en-US" w:eastAsia="en-US"/>
              </w:rPr>
              <w:t>EPS</w:t>
            </w:r>
          </w:p>
        </w:tc>
        <w:tc>
          <w:tcPr>
            <w:tcW w:w="126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-21.82</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4.15</w:t>
            </w:r>
          </w:p>
        </w:tc>
        <w:tc>
          <w:tcPr>
            <w:tcW w:w="180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3.0</w:t>
            </w:r>
          </w:p>
        </w:tc>
        <w:tc>
          <w:tcPr>
            <w:tcW w:w="1530" w:type="dxa"/>
          </w:tcPr>
          <w:p w:rsidR="00C755EB" w:rsidRDefault="00A4583F" w:rsidP="00A4583F">
            <w:pPr>
              <w:jc w:val="center"/>
              <w:rPr>
                <w:rFonts w:eastAsia="Times New Roman" w:cstheme="minorHAnsi"/>
                <w:color w:val="000000"/>
                <w:lang w:val="en-US" w:eastAsia="en-US"/>
              </w:rPr>
            </w:pPr>
            <w:r>
              <w:rPr>
                <w:rFonts w:eastAsia="Times New Roman" w:cstheme="minorHAnsi"/>
                <w:color w:val="000000"/>
                <w:lang w:val="en-US" w:eastAsia="en-US"/>
              </w:rPr>
              <w:t>-0.65</w:t>
            </w:r>
          </w:p>
        </w:tc>
      </w:tr>
    </w:tbl>
    <w:p w:rsidR="00C755EB" w:rsidRDefault="00C755EB" w:rsidP="00C755EB">
      <w:pPr>
        <w:spacing w:after="0"/>
        <w:rPr>
          <w:rFonts w:eastAsia="Times New Roman" w:cstheme="minorHAnsi"/>
          <w:color w:val="000000"/>
          <w:lang w:val="en-US" w:eastAsia="en-US"/>
        </w:rPr>
      </w:pPr>
    </w:p>
    <w:p w:rsidR="00C755EB" w:rsidRDefault="00A4583F" w:rsidP="00C755EB">
      <w:pPr>
        <w:spacing w:after="0"/>
        <w:rPr>
          <w:rFonts w:eastAsia="Times New Roman" w:cstheme="minorHAnsi"/>
          <w:color w:val="000000"/>
          <w:lang w:val="en-US" w:eastAsia="en-US"/>
        </w:rPr>
      </w:pPr>
      <w:r>
        <w:rPr>
          <w:rFonts w:eastAsia="Times New Roman" w:cstheme="minorHAnsi"/>
          <w:color w:val="000000"/>
          <w:lang w:val="en-US" w:eastAsia="en-US"/>
        </w:rPr>
        <w:t>* Source:</w:t>
      </w:r>
      <w:r w:rsidR="008D62D4">
        <w:rPr>
          <w:rFonts w:eastAsia="Times New Roman" w:cstheme="minorHAnsi"/>
          <w:color w:val="000000"/>
          <w:lang w:val="en-US" w:eastAsia="en-US"/>
        </w:rPr>
        <w:t xml:space="preserve"> </w:t>
      </w:r>
      <w:hyperlink r:id="rId13" w:history="1">
        <w:r w:rsidR="008D62D4" w:rsidRPr="00133C23">
          <w:rPr>
            <w:rStyle w:val="Hyperlink"/>
            <w:rFonts w:eastAsia="Times New Roman" w:cstheme="minorHAnsi"/>
            <w:lang w:eastAsia="en-US"/>
          </w:rPr>
          <w:t>http://www.bseindia.com/bseplus/StockReach/StockQuote/Equity/MAHANAGAR%20TELEPHONE%20NIGAM%20LTD/MTNL/500108/Scrips</w:t>
        </w:r>
      </w:hyperlink>
    </w:p>
    <w:p w:rsidR="00C755EB" w:rsidRDefault="00C755EB" w:rsidP="00C755EB">
      <w:pPr>
        <w:spacing w:after="0"/>
        <w:rPr>
          <w:rFonts w:eastAsia="Times New Roman" w:cstheme="minorHAnsi"/>
          <w:color w:val="000000"/>
          <w:lang w:val="en-US" w:eastAsia="en-US"/>
        </w:rPr>
      </w:pPr>
    </w:p>
    <w:p w:rsidR="009A5B9F" w:rsidRDefault="00D82AAC" w:rsidP="00C755EB">
      <w:pPr>
        <w:spacing w:after="0"/>
        <w:rPr>
          <w:rFonts w:eastAsia="Times New Roman" w:cstheme="minorHAnsi"/>
          <w:color w:val="000000"/>
          <w:lang w:val="en-US" w:eastAsia="en-US"/>
        </w:rPr>
      </w:pPr>
      <w:r w:rsidRPr="00D82AAC">
        <w:rPr>
          <w:rFonts w:eastAsia="Times New Roman" w:cstheme="minorHAnsi"/>
          <w:color w:val="000000"/>
          <w:lang w:val="en-US" w:eastAsia="en-US"/>
        </w:rPr>
        <w:t>The case of MTNL points to the fact that</w:t>
      </w:r>
      <w:r w:rsidR="00C755EB">
        <w:rPr>
          <w:rFonts w:eastAsia="Times New Roman" w:cstheme="minorHAnsi"/>
          <w:color w:val="000000"/>
          <w:lang w:val="en-US" w:eastAsia="en-US"/>
        </w:rPr>
        <w:t xml:space="preserve"> </w:t>
      </w:r>
      <w:r w:rsidR="00673C8B">
        <w:rPr>
          <w:rFonts w:eastAsia="Times New Roman" w:cstheme="minorHAnsi"/>
          <w:color w:val="000000"/>
          <w:lang w:val="en-US" w:eastAsia="en-US"/>
        </w:rPr>
        <w:t xml:space="preserve">even </w:t>
      </w:r>
      <w:r w:rsidR="00C755EB">
        <w:rPr>
          <w:rFonts w:eastAsia="Times New Roman" w:cstheme="minorHAnsi"/>
          <w:color w:val="000000"/>
          <w:lang w:val="en-US" w:eastAsia="en-US"/>
        </w:rPr>
        <w:t xml:space="preserve">actions such as </w:t>
      </w:r>
      <w:r w:rsidR="00C755EB" w:rsidRPr="00D82AAC">
        <w:rPr>
          <w:rFonts w:eastAsia="Times New Roman" w:cstheme="minorHAnsi"/>
          <w:color w:val="000000"/>
          <w:lang w:val="en-US" w:eastAsia="en-US"/>
        </w:rPr>
        <w:t>significant</w:t>
      </w:r>
      <w:r w:rsidRPr="00D82AAC">
        <w:rPr>
          <w:rFonts w:eastAsia="Times New Roman" w:cstheme="minorHAnsi"/>
          <w:color w:val="000000"/>
          <w:lang w:val="en-US" w:eastAsia="en-US"/>
        </w:rPr>
        <w:t xml:space="preserve"> divesture of shareholding or even granting of limited autonomy to a SOE</w:t>
      </w:r>
      <w:r w:rsidR="00C976DA">
        <w:rPr>
          <w:rFonts w:eastAsia="Times New Roman" w:cstheme="minorHAnsi"/>
          <w:color w:val="000000"/>
          <w:lang w:val="en-US" w:eastAsia="en-US"/>
        </w:rPr>
        <w:t xml:space="preserve"> (</w:t>
      </w:r>
      <w:r w:rsidR="00C976DA" w:rsidRPr="00D82AAC">
        <w:rPr>
          <w:rFonts w:eastAsia="Times New Roman" w:cstheme="minorHAnsi"/>
          <w:color w:val="000000"/>
          <w:lang w:val="en-US" w:eastAsia="en-US"/>
        </w:rPr>
        <w:t>as</w:t>
      </w:r>
      <w:r w:rsidRPr="00D82AAC">
        <w:rPr>
          <w:rFonts w:eastAsia="Times New Roman" w:cstheme="minorHAnsi"/>
          <w:color w:val="000000"/>
          <w:lang w:val="en-US" w:eastAsia="en-US"/>
        </w:rPr>
        <w:t xml:space="preserve"> in the case of MTNL which ha</w:t>
      </w:r>
      <w:r w:rsidR="0035698D">
        <w:rPr>
          <w:rFonts w:eastAsia="Times New Roman" w:cstheme="minorHAnsi"/>
          <w:color w:val="000000"/>
          <w:lang w:val="en-US" w:eastAsia="en-US"/>
        </w:rPr>
        <w:t>s</w:t>
      </w:r>
      <w:r w:rsidRPr="00D82AAC">
        <w:rPr>
          <w:rFonts w:eastAsia="Times New Roman" w:cstheme="minorHAnsi"/>
          <w:color w:val="000000"/>
          <w:lang w:val="en-US" w:eastAsia="en-US"/>
        </w:rPr>
        <w:t xml:space="preserve"> </w:t>
      </w:r>
      <w:r w:rsidR="00C755EB">
        <w:rPr>
          <w:rFonts w:eastAsia="Times New Roman" w:cstheme="minorHAnsi"/>
          <w:color w:val="000000"/>
          <w:lang w:val="en-US" w:eastAsia="en-US"/>
        </w:rPr>
        <w:t xml:space="preserve">a 43.75 </w:t>
      </w:r>
      <w:r w:rsidRPr="00D82AAC">
        <w:rPr>
          <w:rFonts w:eastAsia="Times New Roman" w:cstheme="minorHAnsi"/>
          <w:color w:val="000000"/>
          <w:lang w:val="en-US" w:eastAsia="en-US"/>
        </w:rPr>
        <w:t xml:space="preserve">% nongovernmental shareholding and was </w:t>
      </w:r>
      <w:r w:rsidR="009A5B9F" w:rsidRPr="00D82AAC">
        <w:rPr>
          <w:rFonts w:eastAsia="Times New Roman" w:cstheme="minorHAnsi"/>
          <w:color w:val="000000"/>
          <w:lang w:val="en-US" w:eastAsia="en-US"/>
        </w:rPr>
        <w:t>granted the</w:t>
      </w:r>
      <w:r w:rsidRPr="00D82AAC">
        <w:rPr>
          <w:rFonts w:eastAsia="Times New Roman" w:cstheme="minorHAnsi"/>
          <w:color w:val="000000"/>
          <w:lang w:val="en-US" w:eastAsia="en-US"/>
        </w:rPr>
        <w:t xml:space="preserve"> maharatna </w:t>
      </w:r>
      <w:r w:rsidR="009A5B9F" w:rsidRPr="00D82AAC">
        <w:rPr>
          <w:rFonts w:eastAsia="Times New Roman" w:cstheme="minorHAnsi"/>
          <w:color w:val="000000"/>
          <w:lang w:val="en-US" w:eastAsia="en-US"/>
        </w:rPr>
        <w:t>status which</w:t>
      </w:r>
      <w:r w:rsidRPr="00D82AAC">
        <w:rPr>
          <w:rFonts w:eastAsia="Times New Roman" w:cstheme="minorHAnsi"/>
          <w:color w:val="000000"/>
          <w:lang w:val="en-US" w:eastAsia="en-US"/>
        </w:rPr>
        <w:t xml:space="preserve"> gave it the freedom to take </w:t>
      </w:r>
      <w:r w:rsidR="0035698D">
        <w:rPr>
          <w:rFonts w:eastAsia="Times New Roman" w:cstheme="minorHAnsi"/>
          <w:color w:val="000000"/>
          <w:lang w:val="en-US" w:eastAsia="en-US"/>
        </w:rPr>
        <w:t xml:space="preserve">some </w:t>
      </w:r>
      <w:r w:rsidRPr="00D82AAC">
        <w:rPr>
          <w:rFonts w:eastAsia="Times New Roman" w:cstheme="minorHAnsi"/>
          <w:color w:val="000000"/>
          <w:lang w:val="en-US" w:eastAsia="en-US"/>
        </w:rPr>
        <w:t>decisions without reference to the government</w:t>
      </w:r>
      <w:r w:rsidR="00C976DA">
        <w:rPr>
          <w:rFonts w:eastAsia="Times New Roman" w:cstheme="minorHAnsi"/>
          <w:color w:val="000000"/>
          <w:lang w:val="en-US" w:eastAsia="en-US"/>
        </w:rPr>
        <w:t>)</w:t>
      </w:r>
      <w:r w:rsidRPr="00D82AAC">
        <w:rPr>
          <w:rFonts w:eastAsia="Times New Roman" w:cstheme="minorHAnsi"/>
          <w:color w:val="000000"/>
          <w:lang w:val="en-US" w:eastAsia="en-US"/>
        </w:rPr>
        <w:t xml:space="preserve"> </w:t>
      </w:r>
      <w:r w:rsidR="00C755EB">
        <w:rPr>
          <w:rFonts w:eastAsia="Times New Roman" w:cstheme="minorHAnsi"/>
          <w:color w:val="000000"/>
          <w:lang w:val="en-US" w:eastAsia="en-US"/>
        </w:rPr>
        <w:t>are</w:t>
      </w:r>
      <w:r w:rsidRPr="00D82AAC">
        <w:rPr>
          <w:rFonts w:eastAsia="Times New Roman" w:cstheme="minorHAnsi"/>
          <w:color w:val="000000"/>
          <w:lang w:val="en-US" w:eastAsia="en-US"/>
        </w:rPr>
        <w:t xml:space="preserve"> not sufficient when it comes to competing in the competitive market where the organization needs to be much more fleet footed to </w:t>
      </w:r>
      <w:r w:rsidR="00BF4605">
        <w:rPr>
          <w:rFonts w:eastAsia="Times New Roman" w:cstheme="minorHAnsi"/>
          <w:color w:val="000000"/>
          <w:lang w:val="en-US" w:eastAsia="en-US"/>
        </w:rPr>
        <w:t xml:space="preserve">compete </w:t>
      </w:r>
      <w:r w:rsidR="00C976DA">
        <w:rPr>
          <w:rFonts w:eastAsia="Times New Roman" w:cstheme="minorHAnsi"/>
          <w:color w:val="000000"/>
          <w:lang w:val="en-US" w:eastAsia="en-US"/>
        </w:rPr>
        <w:t xml:space="preserve">and </w:t>
      </w:r>
      <w:r w:rsidR="00C976DA" w:rsidRPr="00D82AAC">
        <w:rPr>
          <w:rFonts w:eastAsia="Times New Roman" w:cstheme="minorHAnsi"/>
          <w:color w:val="000000"/>
          <w:lang w:val="en-US" w:eastAsia="en-US"/>
        </w:rPr>
        <w:t>grow</w:t>
      </w:r>
      <w:r w:rsidRPr="00D82AAC">
        <w:rPr>
          <w:rFonts w:eastAsia="Times New Roman" w:cstheme="minorHAnsi"/>
          <w:color w:val="000000"/>
          <w:lang w:val="en-US" w:eastAsia="en-US"/>
        </w:rPr>
        <w:t>.</w:t>
      </w:r>
      <w:r w:rsidR="009A5B9F">
        <w:rPr>
          <w:rFonts w:eastAsia="Times New Roman" w:cstheme="minorHAnsi"/>
          <w:color w:val="000000"/>
          <w:lang w:val="en-US" w:eastAsia="en-US"/>
        </w:rPr>
        <w:t xml:space="preserve"> </w:t>
      </w:r>
    </w:p>
    <w:p w:rsidR="00195E95" w:rsidRDefault="00195E95" w:rsidP="005F74C4">
      <w:pPr>
        <w:spacing w:after="0"/>
        <w:rPr>
          <w:rFonts w:cstheme="minorHAnsi"/>
          <w:lang w:val="en-US"/>
        </w:rPr>
      </w:pPr>
    </w:p>
    <w:p w:rsidR="0035698D" w:rsidRPr="00572457" w:rsidRDefault="0035698D" w:rsidP="005F74C4">
      <w:pPr>
        <w:spacing w:after="0"/>
        <w:rPr>
          <w:rFonts w:cstheme="minorHAnsi"/>
          <w:b/>
          <w:bCs/>
          <w:u w:val="single"/>
          <w:lang w:val="en-US"/>
        </w:rPr>
      </w:pPr>
      <w:r w:rsidRPr="00572457">
        <w:rPr>
          <w:rFonts w:cstheme="minorHAnsi"/>
          <w:b/>
          <w:bCs/>
          <w:u w:val="single"/>
          <w:lang w:val="en-US"/>
        </w:rPr>
        <w:t xml:space="preserve">Oil subsidies and the erosion in value of the oil </w:t>
      </w:r>
      <w:r w:rsidR="00572457" w:rsidRPr="00572457">
        <w:rPr>
          <w:rFonts w:cstheme="minorHAnsi"/>
          <w:b/>
          <w:bCs/>
          <w:u w:val="single"/>
          <w:lang w:val="en-US"/>
        </w:rPr>
        <w:t>c</w:t>
      </w:r>
      <w:r w:rsidRPr="00572457">
        <w:rPr>
          <w:rFonts w:cstheme="minorHAnsi"/>
          <w:b/>
          <w:bCs/>
          <w:u w:val="single"/>
          <w:lang w:val="en-US"/>
        </w:rPr>
        <w:t>ompanies:</w:t>
      </w:r>
    </w:p>
    <w:p w:rsidR="0035698D" w:rsidRPr="00572457" w:rsidRDefault="0035698D" w:rsidP="005F74C4">
      <w:pPr>
        <w:spacing w:after="0"/>
        <w:rPr>
          <w:rFonts w:cstheme="minorHAnsi"/>
          <w:b/>
          <w:bCs/>
          <w:lang w:val="en-US"/>
        </w:rPr>
      </w:pPr>
    </w:p>
    <w:p w:rsidR="00C976DA" w:rsidRDefault="00572457" w:rsidP="00BF4605">
      <w:pPr>
        <w:spacing w:after="0"/>
        <w:rPr>
          <w:rFonts w:eastAsia="Times New Roman" w:cstheme="minorHAnsi"/>
          <w:color w:val="000000"/>
          <w:lang w:val="en-US" w:eastAsia="en-US"/>
        </w:rPr>
      </w:pPr>
      <w:r w:rsidRPr="00572457">
        <w:rPr>
          <w:rFonts w:eastAsia="Times New Roman" w:cstheme="minorHAnsi"/>
          <w:color w:val="000000"/>
          <w:lang w:val="en-US" w:eastAsia="en-US"/>
        </w:rPr>
        <w:t>The woes of the Indian oil companies</w:t>
      </w:r>
      <w:r>
        <w:rPr>
          <w:rFonts w:eastAsia="Times New Roman" w:cstheme="minorHAnsi"/>
          <w:color w:val="000000"/>
          <w:lang w:val="en-US" w:eastAsia="en-US"/>
        </w:rPr>
        <w:t xml:space="preserve"> –marketing as well as producing c</w:t>
      </w:r>
      <w:r w:rsidR="00B26BDB">
        <w:rPr>
          <w:rFonts w:eastAsia="Times New Roman" w:cstheme="minorHAnsi"/>
          <w:color w:val="000000"/>
          <w:lang w:val="en-US" w:eastAsia="en-US"/>
        </w:rPr>
        <w:t>ompanies</w:t>
      </w:r>
      <w:r>
        <w:rPr>
          <w:rFonts w:eastAsia="Times New Roman" w:cstheme="minorHAnsi"/>
          <w:color w:val="000000"/>
          <w:lang w:val="en-US" w:eastAsia="en-US"/>
        </w:rPr>
        <w:t xml:space="preserve"> – is another example of corporate mis-governance in </w:t>
      </w:r>
      <w:r w:rsidR="00C976DA">
        <w:rPr>
          <w:rFonts w:eastAsia="Times New Roman" w:cstheme="minorHAnsi"/>
          <w:color w:val="000000"/>
          <w:lang w:val="en-US" w:eastAsia="en-US"/>
        </w:rPr>
        <w:t xml:space="preserve">Indian </w:t>
      </w:r>
      <w:r>
        <w:rPr>
          <w:rFonts w:eastAsia="Times New Roman" w:cstheme="minorHAnsi"/>
          <w:color w:val="000000"/>
          <w:lang w:val="en-US" w:eastAsia="en-US"/>
        </w:rPr>
        <w:t xml:space="preserve">SOEs where the </w:t>
      </w:r>
      <w:r w:rsidR="00FA1738">
        <w:rPr>
          <w:rFonts w:eastAsia="Times New Roman" w:cstheme="minorHAnsi"/>
          <w:color w:val="000000"/>
          <w:lang w:val="en-US" w:eastAsia="en-US"/>
        </w:rPr>
        <w:t>interest</w:t>
      </w:r>
      <w:r>
        <w:rPr>
          <w:rFonts w:eastAsia="Times New Roman" w:cstheme="minorHAnsi"/>
          <w:color w:val="000000"/>
          <w:lang w:val="en-US" w:eastAsia="en-US"/>
        </w:rPr>
        <w:t xml:space="preserve"> of the minority shareholders are sidelined on account of extraneous </w:t>
      </w:r>
      <w:r w:rsidR="00FA1738">
        <w:rPr>
          <w:rFonts w:eastAsia="Times New Roman" w:cstheme="minorHAnsi"/>
          <w:color w:val="000000"/>
          <w:lang w:val="en-US" w:eastAsia="en-US"/>
        </w:rPr>
        <w:t xml:space="preserve">considerations. </w:t>
      </w:r>
    </w:p>
    <w:p w:rsidR="00C976DA" w:rsidRDefault="00C976DA" w:rsidP="00BF4605">
      <w:pPr>
        <w:spacing w:after="0"/>
        <w:rPr>
          <w:rFonts w:eastAsia="Times New Roman" w:cstheme="minorHAnsi"/>
          <w:color w:val="000000"/>
          <w:lang w:val="en-US" w:eastAsia="en-US"/>
        </w:rPr>
      </w:pPr>
    </w:p>
    <w:p w:rsidR="00FA1738" w:rsidRDefault="00FA1738" w:rsidP="00BF4605">
      <w:pPr>
        <w:spacing w:after="0"/>
        <w:rPr>
          <w:rFonts w:cstheme="minorHAnsi"/>
          <w:color w:val="111111"/>
          <w:shd w:val="clear" w:color="auto" w:fill="FFFFFF"/>
        </w:rPr>
      </w:pPr>
      <w:r>
        <w:rPr>
          <w:rFonts w:eastAsia="Times New Roman" w:cstheme="minorHAnsi"/>
          <w:color w:val="000000"/>
          <w:lang w:val="en-US" w:eastAsia="en-US"/>
        </w:rPr>
        <w:t xml:space="preserve">Given that </w:t>
      </w:r>
      <w:r w:rsidR="00572457" w:rsidRPr="00572457">
        <w:rPr>
          <w:rFonts w:eastAsia="Times New Roman" w:cstheme="minorHAnsi"/>
          <w:lang w:val="en-US" w:eastAsia="en-US"/>
        </w:rPr>
        <w:t>I</w:t>
      </w:r>
      <w:r w:rsidR="00776671" w:rsidRPr="00572457">
        <w:rPr>
          <w:rFonts w:eastAsia="Times New Roman" w:cstheme="minorHAnsi"/>
          <w:lang w:val="en-US" w:eastAsia="en-US"/>
        </w:rPr>
        <w:t>ndia me</w:t>
      </w:r>
      <w:r w:rsidR="00572457" w:rsidRPr="00572457">
        <w:rPr>
          <w:rFonts w:eastAsia="Times New Roman" w:cstheme="minorHAnsi"/>
          <w:lang w:val="en-US" w:eastAsia="en-US"/>
        </w:rPr>
        <w:t>e</w:t>
      </w:r>
      <w:r w:rsidR="00776671" w:rsidRPr="00572457">
        <w:rPr>
          <w:rFonts w:eastAsia="Times New Roman" w:cstheme="minorHAnsi"/>
          <w:lang w:val="en-US" w:eastAsia="en-US"/>
        </w:rPr>
        <w:t>t</w:t>
      </w:r>
      <w:r w:rsidR="00572457" w:rsidRPr="00572457">
        <w:rPr>
          <w:rFonts w:eastAsia="Times New Roman" w:cstheme="minorHAnsi"/>
          <w:lang w:val="en-US" w:eastAsia="en-US"/>
        </w:rPr>
        <w:t xml:space="preserve">s as much </w:t>
      </w:r>
      <w:r w:rsidRPr="00572457">
        <w:rPr>
          <w:rFonts w:eastAsia="Times New Roman" w:cstheme="minorHAnsi"/>
          <w:lang w:val="en-US" w:eastAsia="en-US"/>
        </w:rPr>
        <w:t xml:space="preserve">as </w:t>
      </w:r>
      <w:hyperlink r:id="rId14" w:history="1">
        <w:r w:rsidR="00776671" w:rsidRPr="00572457">
          <w:rPr>
            <w:rStyle w:val="Hyperlink"/>
            <w:rFonts w:eastAsia="Times New Roman" w:cstheme="minorHAnsi"/>
            <w:color w:val="auto"/>
            <w:u w:val="none"/>
            <w:lang w:val="en-US" w:eastAsia="en-US"/>
          </w:rPr>
          <w:t>76 per cent</w:t>
        </w:r>
      </w:hyperlink>
      <w:r w:rsidR="00776671" w:rsidRPr="00572457">
        <w:rPr>
          <w:rFonts w:eastAsia="Times New Roman" w:cstheme="minorHAnsi"/>
          <w:lang w:val="en-US" w:eastAsia="en-US"/>
        </w:rPr>
        <w:t> of its total petroleum requirement in 2011-12 through imports</w:t>
      </w:r>
      <w:r w:rsidR="00C976DA">
        <w:rPr>
          <w:rFonts w:eastAsia="Times New Roman" w:cstheme="minorHAnsi"/>
          <w:lang w:val="en-US" w:eastAsia="en-US"/>
        </w:rPr>
        <w:t xml:space="preserve"> the State has always played a major role in fixing oil </w:t>
      </w:r>
      <w:r w:rsidR="00195815">
        <w:rPr>
          <w:rFonts w:eastAsia="Times New Roman" w:cstheme="minorHAnsi"/>
          <w:lang w:val="en-US" w:eastAsia="en-US"/>
        </w:rPr>
        <w:t>prices.</w:t>
      </w:r>
      <w:r w:rsidR="00195815" w:rsidRPr="00572457">
        <w:rPr>
          <w:rFonts w:eastAsia="Times New Roman" w:cstheme="minorHAnsi"/>
          <w:lang w:val="en-US" w:eastAsia="en-US"/>
        </w:rPr>
        <w:t xml:space="preserve"> Petrol</w:t>
      </w:r>
      <w:r w:rsidRPr="00572457">
        <w:rPr>
          <w:rFonts w:eastAsia="Times New Roman" w:cstheme="minorHAnsi"/>
          <w:lang w:val="en-US" w:eastAsia="en-US"/>
        </w:rPr>
        <w:t xml:space="preserve"> prices have officially been decontrolled since June 2010</w:t>
      </w:r>
      <w:r>
        <w:rPr>
          <w:rFonts w:eastAsia="Times New Roman" w:cstheme="minorHAnsi"/>
          <w:lang w:val="en-US" w:eastAsia="en-US"/>
        </w:rPr>
        <w:t xml:space="preserve"> while the prices for diesel, kerosene and domestic LPG are fixed by the Government</w:t>
      </w:r>
      <w:r w:rsidRPr="00572457">
        <w:rPr>
          <w:rFonts w:eastAsia="Times New Roman" w:cstheme="minorHAnsi"/>
          <w:lang w:val="en-US" w:eastAsia="en-US"/>
        </w:rPr>
        <w:t>.  However,</w:t>
      </w:r>
      <w:r>
        <w:rPr>
          <w:rFonts w:eastAsia="Times New Roman" w:cstheme="minorHAnsi"/>
          <w:lang w:val="en-US" w:eastAsia="en-US"/>
        </w:rPr>
        <w:t xml:space="preserve"> because of domestic political and policy compulsions the</w:t>
      </w:r>
      <w:r w:rsidRPr="00572457">
        <w:rPr>
          <w:rFonts w:eastAsia="Times New Roman" w:cstheme="minorHAnsi"/>
          <w:lang w:val="en-US" w:eastAsia="en-US"/>
        </w:rPr>
        <w:t xml:space="preserve"> prices of pet</w:t>
      </w:r>
      <w:r>
        <w:rPr>
          <w:rFonts w:eastAsia="Times New Roman" w:cstheme="minorHAnsi"/>
          <w:lang w:val="en-US" w:eastAsia="en-US"/>
        </w:rPr>
        <w:t>r</w:t>
      </w:r>
      <w:r w:rsidRPr="00572457">
        <w:rPr>
          <w:rFonts w:eastAsia="Times New Roman" w:cstheme="minorHAnsi"/>
          <w:lang w:val="en-US" w:eastAsia="en-US"/>
        </w:rPr>
        <w:t>oleum products </w:t>
      </w:r>
      <w:hyperlink r:id="rId15" w:history="1">
        <w:r w:rsidRPr="00572457">
          <w:rPr>
            <w:rStyle w:val="Hyperlink"/>
            <w:rFonts w:eastAsia="Times New Roman" w:cstheme="minorHAnsi"/>
            <w:color w:val="auto"/>
            <w:u w:val="none"/>
            <w:lang w:val="en-US" w:eastAsia="en-US"/>
          </w:rPr>
          <w:t>have not been increased sufficiently</w:t>
        </w:r>
      </w:hyperlink>
      <w:r w:rsidRPr="00572457">
        <w:rPr>
          <w:rFonts w:eastAsia="Times New Roman" w:cstheme="minorHAnsi"/>
          <w:lang w:val="en-US" w:eastAsia="en-US"/>
        </w:rPr>
        <w:t> in order to pass on cost increases to consumers.  Th</w:t>
      </w:r>
      <w:r>
        <w:rPr>
          <w:rFonts w:eastAsia="Times New Roman" w:cstheme="minorHAnsi"/>
          <w:lang w:val="en-US" w:eastAsia="en-US"/>
        </w:rPr>
        <w:t>is</w:t>
      </w:r>
      <w:r w:rsidRPr="00572457">
        <w:rPr>
          <w:rFonts w:eastAsia="Times New Roman" w:cstheme="minorHAnsi"/>
          <w:lang w:val="en-US" w:eastAsia="en-US"/>
        </w:rPr>
        <w:t xml:space="preserve"> inability to pass on international crude prices to consumers has </w:t>
      </w:r>
      <w:r w:rsidR="00BF4605">
        <w:rPr>
          <w:rFonts w:eastAsia="Times New Roman" w:cstheme="minorHAnsi"/>
          <w:lang w:val="en-US" w:eastAsia="en-US"/>
        </w:rPr>
        <w:t xml:space="preserve">always </w:t>
      </w:r>
      <w:r w:rsidRPr="00572457">
        <w:rPr>
          <w:rFonts w:eastAsia="Times New Roman" w:cstheme="minorHAnsi"/>
          <w:lang w:val="en-US" w:eastAsia="en-US"/>
        </w:rPr>
        <w:t xml:space="preserve">affected </w:t>
      </w:r>
      <w:r>
        <w:rPr>
          <w:rFonts w:eastAsia="Times New Roman" w:cstheme="minorHAnsi"/>
          <w:lang w:val="en-US" w:eastAsia="en-US"/>
        </w:rPr>
        <w:t xml:space="preserve">the oil marketing </w:t>
      </w:r>
      <w:r w:rsidR="00B26BDB">
        <w:rPr>
          <w:rFonts w:eastAsia="Times New Roman" w:cstheme="minorHAnsi"/>
          <w:lang w:val="en-US" w:eastAsia="en-US"/>
        </w:rPr>
        <w:t xml:space="preserve">companies </w:t>
      </w:r>
      <w:r w:rsidR="00B26BDB" w:rsidRPr="00572457">
        <w:rPr>
          <w:rFonts w:eastAsia="Times New Roman" w:cstheme="minorHAnsi"/>
          <w:lang w:val="en-US" w:eastAsia="en-US"/>
        </w:rPr>
        <w:t>more</w:t>
      </w:r>
      <w:r w:rsidRPr="00572457">
        <w:rPr>
          <w:rFonts w:eastAsia="Times New Roman" w:cstheme="minorHAnsi"/>
          <w:lang w:val="en-US" w:eastAsia="en-US"/>
        </w:rPr>
        <w:t xml:space="preserve"> in recent months due to the </w:t>
      </w:r>
      <w:hyperlink r:id="rId16" w:history="1">
        <w:r w:rsidRPr="00572457">
          <w:rPr>
            <w:rStyle w:val="Hyperlink"/>
            <w:rFonts w:eastAsia="Times New Roman" w:cstheme="minorHAnsi"/>
            <w:color w:val="auto"/>
            <w:u w:val="none"/>
            <w:lang w:val="en-US" w:eastAsia="en-US"/>
          </w:rPr>
          <w:t>depreciating rupee</w:t>
        </w:r>
      </w:hyperlink>
      <w:r w:rsidRPr="00572457">
        <w:rPr>
          <w:rFonts w:eastAsia="Times New Roman" w:cstheme="minorHAnsi"/>
          <w:lang w:val="en-US" w:eastAsia="en-US"/>
        </w:rPr>
        <w:t xml:space="preserve">, which has further increased their losses.  </w:t>
      </w:r>
      <w:r w:rsidR="00BF4605">
        <w:rPr>
          <w:rFonts w:eastAsia="Times New Roman" w:cstheme="minorHAnsi"/>
          <w:lang w:val="en-US" w:eastAsia="en-US"/>
        </w:rPr>
        <w:t>India has</w:t>
      </w:r>
      <w:r w:rsidR="00B26BDB" w:rsidRPr="00572457">
        <w:rPr>
          <w:rFonts w:cstheme="minorHAnsi"/>
          <w:color w:val="111111"/>
          <w:shd w:val="clear" w:color="auto" w:fill="FFFFFF"/>
        </w:rPr>
        <w:t xml:space="preserve"> a </w:t>
      </w:r>
      <w:r w:rsidR="00C976DA">
        <w:rPr>
          <w:rFonts w:cstheme="minorHAnsi"/>
          <w:color w:val="111111"/>
          <w:shd w:val="clear" w:color="auto" w:fill="FFFFFF"/>
        </w:rPr>
        <w:t>c</w:t>
      </w:r>
      <w:r w:rsidR="00B26BDB" w:rsidRPr="00572457">
        <w:rPr>
          <w:rFonts w:cstheme="minorHAnsi"/>
          <w:color w:val="111111"/>
          <w:shd w:val="clear" w:color="auto" w:fill="FFFFFF"/>
        </w:rPr>
        <w:t>omplex environment where diesel, LPG and Kerosene are hugely subsidized</w:t>
      </w:r>
      <w:r w:rsidR="00B26BDB">
        <w:rPr>
          <w:rFonts w:cstheme="minorHAnsi"/>
          <w:color w:val="111111"/>
          <w:shd w:val="clear" w:color="auto" w:fill="FFFFFF"/>
        </w:rPr>
        <w:t xml:space="preserve"> and</w:t>
      </w:r>
      <w:r w:rsidR="00B26BDB" w:rsidRPr="00572457">
        <w:rPr>
          <w:rFonts w:cstheme="minorHAnsi"/>
          <w:color w:val="111111"/>
          <w:shd w:val="clear" w:color="auto" w:fill="FFFFFF"/>
        </w:rPr>
        <w:t xml:space="preserve"> cause </w:t>
      </w:r>
      <w:r w:rsidR="00BF4605">
        <w:rPr>
          <w:rFonts w:cstheme="minorHAnsi"/>
          <w:color w:val="111111"/>
          <w:shd w:val="clear" w:color="auto" w:fill="FFFFFF"/>
        </w:rPr>
        <w:t>significant</w:t>
      </w:r>
      <w:r w:rsidR="00B26BDB" w:rsidRPr="00572457">
        <w:rPr>
          <w:rFonts w:cstheme="minorHAnsi"/>
          <w:color w:val="111111"/>
          <w:shd w:val="clear" w:color="auto" w:fill="FFFFFF"/>
        </w:rPr>
        <w:t xml:space="preserve"> losses to oil companies but </w:t>
      </w:r>
      <w:r w:rsidR="00B26BDB">
        <w:rPr>
          <w:rFonts w:cstheme="minorHAnsi"/>
          <w:color w:val="111111"/>
          <w:shd w:val="clear" w:color="auto" w:fill="FFFFFF"/>
        </w:rPr>
        <w:t xml:space="preserve">they (oil marketing companies) are unable to correct the situation because </w:t>
      </w:r>
      <w:r w:rsidR="00BF4605">
        <w:rPr>
          <w:rFonts w:cstheme="minorHAnsi"/>
          <w:color w:val="111111"/>
          <w:shd w:val="clear" w:color="auto" w:fill="FFFFFF"/>
        </w:rPr>
        <w:t xml:space="preserve">the </w:t>
      </w:r>
      <w:r w:rsidR="00B26BDB">
        <w:rPr>
          <w:rFonts w:cstheme="minorHAnsi"/>
          <w:color w:val="111111"/>
          <w:shd w:val="clear" w:color="auto" w:fill="FFFFFF"/>
        </w:rPr>
        <w:t>pricing for these products is controlled by the GoI.</w:t>
      </w:r>
    </w:p>
    <w:p w:rsidR="00B00C45" w:rsidRDefault="00B00C45" w:rsidP="00BF4605">
      <w:pPr>
        <w:spacing w:after="0"/>
        <w:rPr>
          <w:rFonts w:cstheme="minorHAnsi"/>
          <w:color w:val="111111"/>
          <w:shd w:val="clear" w:color="auto" w:fill="FFFFFF"/>
        </w:rPr>
      </w:pPr>
    </w:p>
    <w:p w:rsidR="00B00C45" w:rsidRPr="00115007" w:rsidRDefault="00B00C45" w:rsidP="00BF4605">
      <w:pPr>
        <w:spacing w:after="0"/>
        <w:rPr>
          <w:rFonts w:eastAsia="Times New Roman" w:cstheme="minorHAnsi"/>
          <w:lang w:val="en-US" w:eastAsia="en-US"/>
        </w:rPr>
      </w:pPr>
      <w:r>
        <w:rPr>
          <w:rFonts w:eastAsia="Times New Roman" w:cstheme="minorHAnsi"/>
          <w:lang w:val="en-US" w:eastAsia="en-US"/>
        </w:rPr>
        <w:t>As t</w:t>
      </w:r>
      <w:r w:rsidRPr="00572457">
        <w:rPr>
          <w:rFonts w:eastAsia="Times New Roman" w:cstheme="minorHAnsi"/>
          <w:lang w:val="en-US" w:eastAsia="en-US"/>
        </w:rPr>
        <w:t>he prices of diesel, LPG and kerosene, which are responsible for the</w:t>
      </w:r>
      <w:r w:rsidR="00BF4605">
        <w:rPr>
          <w:rFonts w:eastAsia="Times New Roman" w:cstheme="minorHAnsi"/>
          <w:lang w:val="en-US" w:eastAsia="en-US"/>
        </w:rPr>
        <w:t xml:space="preserve"> huge</w:t>
      </w:r>
      <w:r w:rsidRPr="00572457">
        <w:rPr>
          <w:rFonts w:eastAsia="Times New Roman" w:cstheme="minorHAnsi"/>
          <w:lang w:val="en-US" w:eastAsia="en-US"/>
        </w:rPr>
        <w:t xml:space="preserve"> under recoveries, </w:t>
      </w:r>
      <w:r>
        <w:rPr>
          <w:rFonts w:eastAsia="Times New Roman" w:cstheme="minorHAnsi"/>
          <w:lang w:val="en-US" w:eastAsia="en-US"/>
        </w:rPr>
        <w:t xml:space="preserve">have </w:t>
      </w:r>
      <w:r w:rsidR="00BF4605">
        <w:rPr>
          <w:rFonts w:eastAsia="Times New Roman" w:cstheme="minorHAnsi"/>
          <w:lang w:val="en-US" w:eastAsia="en-US"/>
        </w:rPr>
        <w:t xml:space="preserve">remained </w:t>
      </w:r>
      <w:r w:rsidR="00BF4605" w:rsidRPr="00572457">
        <w:rPr>
          <w:rFonts w:eastAsia="Times New Roman" w:cstheme="minorHAnsi"/>
          <w:lang w:val="en-US" w:eastAsia="en-US"/>
        </w:rPr>
        <w:t>unchanged</w:t>
      </w:r>
      <w:r>
        <w:rPr>
          <w:rFonts w:eastAsia="Times New Roman" w:cstheme="minorHAnsi"/>
          <w:lang w:val="en-US" w:eastAsia="en-US"/>
        </w:rPr>
        <w:t xml:space="preserve"> the</w:t>
      </w:r>
      <w:r w:rsidRPr="0074554D">
        <w:rPr>
          <w:rFonts w:eastAsia="Times New Roman" w:cstheme="minorHAnsi"/>
          <w:color w:val="111111"/>
          <w:lang w:val="en-US" w:eastAsia="en-US"/>
        </w:rPr>
        <w:t xml:space="preserve"> oil marketing companies – </w:t>
      </w:r>
      <w:r>
        <w:rPr>
          <w:rFonts w:eastAsia="Times New Roman" w:cstheme="minorHAnsi"/>
          <w:color w:val="111111"/>
          <w:lang w:val="en-US" w:eastAsia="en-US"/>
        </w:rPr>
        <w:t>IOC (</w:t>
      </w:r>
      <w:r w:rsidRPr="0074554D">
        <w:rPr>
          <w:rFonts w:eastAsia="Times New Roman" w:cstheme="minorHAnsi"/>
          <w:color w:val="111111"/>
          <w:lang w:val="en-US" w:eastAsia="en-US"/>
        </w:rPr>
        <w:t>Indian Oil</w:t>
      </w:r>
      <w:r>
        <w:rPr>
          <w:rFonts w:eastAsia="Times New Roman" w:cstheme="minorHAnsi"/>
          <w:color w:val="111111"/>
          <w:lang w:val="en-US" w:eastAsia="en-US"/>
        </w:rPr>
        <w:t xml:space="preserve"> Corporation),</w:t>
      </w:r>
      <w:r w:rsidRPr="0074554D">
        <w:rPr>
          <w:rFonts w:eastAsia="Times New Roman" w:cstheme="minorHAnsi"/>
          <w:color w:val="111111"/>
          <w:lang w:val="en-US" w:eastAsia="en-US"/>
        </w:rPr>
        <w:t xml:space="preserve"> HPCL (Hindustan Petroleum Corporation) and BPCL (Bharat Petroleum Corporation Limited) </w:t>
      </w:r>
      <w:r w:rsidR="00BF4605">
        <w:rPr>
          <w:rFonts w:eastAsia="Times New Roman" w:cstheme="minorHAnsi"/>
          <w:color w:val="111111"/>
          <w:lang w:val="en-US" w:eastAsia="en-US"/>
        </w:rPr>
        <w:t xml:space="preserve">end up </w:t>
      </w:r>
      <w:r w:rsidRPr="0074554D">
        <w:rPr>
          <w:rFonts w:eastAsia="Times New Roman" w:cstheme="minorHAnsi"/>
          <w:color w:val="111111"/>
          <w:lang w:val="en-US" w:eastAsia="en-US"/>
        </w:rPr>
        <w:t>buy</w:t>
      </w:r>
      <w:r w:rsidR="00BF4605">
        <w:rPr>
          <w:rFonts w:eastAsia="Times New Roman" w:cstheme="minorHAnsi"/>
          <w:color w:val="111111"/>
          <w:lang w:val="en-US" w:eastAsia="en-US"/>
        </w:rPr>
        <w:t>ing</w:t>
      </w:r>
      <w:r w:rsidRPr="0074554D">
        <w:rPr>
          <w:rFonts w:eastAsia="Times New Roman" w:cstheme="minorHAnsi"/>
          <w:color w:val="111111"/>
          <w:lang w:val="en-US" w:eastAsia="en-US"/>
        </w:rPr>
        <w:t xml:space="preserve"> crude from </w:t>
      </w:r>
      <w:r>
        <w:rPr>
          <w:rFonts w:eastAsia="Times New Roman" w:cstheme="minorHAnsi"/>
          <w:color w:val="111111"/>
          <w:lang w:val="en-US" w:eastAsia="en-US"/>
        </w:rPr>
        <w:t xml:space="preserve">the upstream </w:t>
      </w:r>
      <w:r w:rsidRPr="0074554D">
        <w:rPr>
          <w:rFonts w:eastAsia="Times New Roman" w:cstheme="minorHAnsi"/>
          <w:color w:val="111111"/>
          <w:lang w:val="en-US" w:eastAsia="en-US"/>
        </w:rPr>
        <w:t xml:space="preserve">companies and then </w:t>
      </w:r>
      <w:r w:rsidRPr="0074554D">
        <w:rPr>
          <w:rFonts w:eastAsia="Times New Roman" w:cstheme="minorHAnsi"/>
          <w:color w:val="111111"/>
          <w:lang w:val="en-US" w:eastAsia="en-US"/>
        </w:rPr>
        <w:lastRenderedPageBreak/>
        <w:t>sell</w:t>
      </w:r>
      <w:r w:rsidR="00BF4605">
        <w:rPr>
          <w:rFonts w:eastAsia="Times New Roman" w:cstheme="minorHAnsi"/>
          <w:color w:val="111111"/>
          <w:lang w:val="en-US" w:eastAsia="en-US"/>
        </w:rPr>
        <w:t>ing the same</w:t>
      </w:r>
      <w:r w:rsidRPr="0074554D">
        <w:rPr>
          <w:rFonts w:eastAsia="Times New Roman" w:cstheme="minorHAnsi"/>
          <w:color w:val="111111"/>
          <w:lang w:val="en-US" w:eastAsia="en-US"/>
        </w:rPr>
        <w:t xml:space="preserve"> at discounted rates and in the process they incur huge losses.</w:t>
      </w:r>
      <w:r>
        <w:rPr>
          <w:rFonts w:eastAsia="Times New Roman" w:cstheme="minorHAnsi"/>
          <w:color w:val="111111"/>
          <w:lang w:val="en-US" w:eastAsia="en-US"/>
        </w:rPr>
        <w:t xml:space="preserve"> </w:t>
      </w:r>
      <w:r w:rsidRPr="0074554D">
        <w:rPr>
          <w:rFonts w:eastAsia="Times New Roman" w:cstheme="minorHAnsi"/>
          <w:color w:val="111111"/>
          <w:lang w:val="en-US" w:eastAsia="en-US"/>
        </w:rPr>
        <w:t>These losses are subsidized by the government directly in the form of cash subsidy</w:t>
      </w:r>
      <w:r>
        <w:rPr>
          <w:rFonts w:eastAsia="Times New Roman" w:cstheme="minorHAnsi"/>
          <w:color w:val="111111"/>
          <w:lang w:val="en-US" w:eastAsia="en-US"/>
        </w:rPr>
        <w:t xml:space="preserve"> (</w:t>
      </w:r>
      <w:r w:rsidRPr="0074554D">
        <w:rPr>
          <w:rFonts w:eastAsia="Times New Roman" w:cstheme="minorHAnsi"/>
          <w:color w:val="111111"/>
          <w:lang w:val="en-US" w:eastAsia="en-US"/>
        </w:rPr>
        <w:t>grants</w:t>
      </w:r>
      <w:r>
        <w:rPr>
          <w:rFonts w:eastAsia="Times New Roman" w:cstheme="minorHAnsi"/>
          <w:color w:val="111111"/>
          <w:lang w:val="en-US" w:eastAsia="en-US"/>
        </w:rPr>
        <w:t>)</w:t>
      </w:r>
      <w:r w:rsidRPr="0074554D">
        <w:rPr>
          <w:rFonts w:eastAsia="Times New Roman" w:cstheme="minorHAnsi"/>
          <w:color w:val="111111"/>
          <w:lang w:val="en-US" w:eastAsia="en-US"/>
        </w:rPr>
        <w:t xml:space="preserve"> and by</w:t>
      </w:r>
      <w:r w:rsidR="00C976DA">
        <w:rPr>
          <w:rFonts w:eastAsia="Times New Roman" w:cstheme="minorHAnsi"/>
          <w:color w:val="111111"/>
          <w:lang w:val="en-US" w:eastAsia="en-US"/>
        </w:rPr>
        <w:t xml:space="preserve"> sharing of the subsidy burden by</w:t>
      </w:r>
      <w:r w:rsidRPr="0074554D">
        <w:rPr>
          <w:rFonts w:eastAsia="Times New Roman" w:cstheme="minorHAnsi"/>
          <w:color w:val="111111"/>
          <w:lang w:val="en-US" w:eastAsia="en-US"/>
        </w:rPr>
        <w:t xml:space="preserve"> </w:t>
      </w:r>
      <w:r>
        <w:rPr>
          <w:rFonts w:eastAsia="Times New Roman" w:cstheme="minorHAnsi"/>
          <w:color w:val="111111"/>
          <w:lang w:val="en-US" w:eastAsia="en-US"/>
        </w:rPr>
        <w:t xml:space="preserve">the </w:t>
      </w:r>
      <w:r w:rsidRPr="0074554D">
        <w:rPr>
          <w:rFonts w:eastAsia="Times New Roman" w:cstheme="minorHAnsi"/>
          <w:color w:val="111111"/>
          <w:lang w:val="en-US" w:eastAsia="en-US"/>
        </w:rPr>
        <w:t xml:space="preserve">upstream oil companies – OIL (Oil India Limited), ONGC (Oil and Natural Gas Corporation) and GAIL (Gas Authority of India Limited). </w:t>
      </w:r>
    </w:p>
    <w:p w:rsidR="00BF4605" w:rsidRDefault="00BF4605" w:rsidP="00B00C45">
      <w:pPr>
        <w:rPr>
          <w:rFonts w:eastAsia="Times New Roman" w:cstheme="minorHAnsi"/>
          <w:lang w:val="en-US" w:eastAsia="en-US"/>
        </w:rPr>
      </w:pPr>
    </w:p>
    <w:p w:rsidR="00B00C45" w:rsidRPr="00115007" w:rsidRDefault="00B00C45" w:rsidP="00B00C45">
      <w:pPr>
        <w:rPr>
          <w:rFonts w:eastAsia="Times New Roman" w:cstheme="minorHAnsi"/>
          <w:lang w:val="en-US" w:eastAsia="en-US"/>
        </w:rPr>
      </w:pPr>
      <w:r w:rsidRPr="00572457">
        <w:rPr>
          <w:rFonts w:eastAsia="Times New Roman" w:cstheme="minorHAnsi"/>
          <w:lang w:val="en-US" w:eastAsia="en-US"/>
        </w:rPr>
        <w:t xml:space="preserve">The </w:t>
      </w:r>
      <w:r>
        <w:rPr>
          <w:rFonts w:eastAsia="Times New Roman" w:cstheme="minorHAnsi"/>
          <w:lang w:val="en-US" w:eastAsia="en-US"/>
        </w:rPr>
        <w:t xml:space="preserve">oil marketing companies </w:t>
      </w:r>
      <w:r w:rsidRPr="00115007">
        <w:rPr>
          <w:rFonts w:eastAsia="Times New Roman" w:cstheme="minorHAnsi"/>
          <w:lang w:val="en-US" w:eastAsia="en-US"/>
        </w:rPr>
        <w:t>have been incurring huge losses</w:t>
      </w:r>
      <w:r>
        <w:rPr>
          <w:rFonts w:eastAsia="Times New Roman" w:cstheme="minorHAnsi"/>
          <w:lang w:val="en-US" w:eastAsia="en-US"/>
        </w:rPr>
        <w:t xml:space="preserve"> </w:t>
      </w:r>
      <w:r w:rsidR="00BF4605">
        <w:rPr>
          <w:rFonts w:eastAsia="Times New Roman" w:cstheme="minorHAnsi"/>
          <w:lang w:val="en-US" w:eastAsia="en-US"/>
        </w:rPr>
        <w:t>on the</w:t>
      </w:r>
      <w:r w:rsidRPr="00115007">
        <w:rPr>
          <w:rFonts w:eastAsia="Times New Roman" w:cstheme="minorHAnsi"/>
          <w:lang w:val="en-US" w:eastAsia="en-US"/>
        </w:rPr>
        <w:t xml:space="preserve"> sale of three products, namely Diesel, Domestic LPG and PDS Kerosene at highly subsidized prices.</w:t>
      </w:r>
      <w:r>
        <w:rPr>
          <w:rFonts w:eastAsia="Times New Roman" w:cstheme="minorHAnsi"/>
          <w:lang w:val="en-US" w:eastAsia="en-US"/>
        </w:rPr>
        <w:t xml:space="preserve"> In FY 2011-12 ,it was only after accounting for </w:t>
      </w:r>
      <w:r w:rsidRPr="00115007">
        <w:rPr>
          <w:rFonts w:eastAsia="Times New Roman" w:cstheme="minorHAnsi"/>
          <w:lang w:val="en-US" w:eastAsia="en-US"/>
        </w:rPr>
        <w:t xml:space="preserve"> the assistance of Rs. 83,500 crore from the Government and Rs. 55,000 crore from the upstream oil companies ( ONGC, OIL and GAIL),  totaling </w:t>
      </w:r>
      <w:r>
        <w:rPr>
          <w:rFonts w:eastAsia="Times New Roman" w:cstheme="minorHAnsi"/>
          <w:lang w:val="en-US" w:eastAsia="en-US"/>
        </w:rPr>
        <w:t xml:space="preserve">to </w:t>
      </w:r>
      <w:r w:rsidRPr="00115007">
        <w:rPr>
          <w:rFonts w:eastAsia="Times New Roman" w:cstheme="minorHAnsi"/>
          <w:lang w:val="en-US" w:eastAsia="en-US"/>
        </w:rPr>
        <w:t xml:space="preserve">Rs.1,38,500 crore </w:t>
      </w:r>
      <w:r>
        <w:rPr>
          <w:rFonts w:eastAsia="Times New Roman" w:cstheme="minorHAnsi"/>
          <w:lang w:val="en-US" w:eastAsia="en-US"/>
        </w:rPr>
        <w:t xml:space="preserve">that </w:t>
      </w:r>
      <w:r w:rsidRPr="00115007">
        <w:rPr>
          <w:rFonts w:eastAsia="Times New Roman" w:cstheme="minorHAnsi"/>
          <w:lang w:val="en-US" w:eastAsia="en-US"/>
        </w:rPr>
        <w:t xml:space="preserve">the three Public Sector </w:t>
      </w:r>
      <w:r w:rsidR="002B7983">
        <w:rPr>
          <w:rFonts w:eastAsia="Times New Roman" w:cstheme="minorHAnsi"/>
          <w:lang w:val="en-US" w:eastAsia="en-US"/>
        </w:rPr>
        <w:t>oil marketing companies</w:t>
      </w:r>
      <w:r w:rsidRPr="00115007">
        <w:rPr>
          <w:rFonts w:eastAsia="Times New Roman" w:cstheme="minorHAnsi"/>
          <w:lang w:val="en-US" w:eastAsia="en-US"/>
        </w:rPr>
        <w:t xml:space="preserve"> could declare nominal profits. Had this assistance not been given, the three OMCs would have reported a combined loss of Rs. 1, 32,000 crore</w:t>
      </w:r>
      <w:r>
        <w:rPr>
          <w:rStyle w:val="FootnoteReference"/>
          <w:rFonts w:eastAsia="Times New Roman" w:cstheme="minorHAnsi"/>
          <w:lang w:val="en-US" w:eastAsia="en-US"/>
        </w:rPr>
        <w:footnoteReference w:id="79"/>
      </w:r>
      <w:r>
        <w:rPr>
          <w:rFonts w:eastAsia="Times New Roman" w:cstheme="minorHAnsi"/>
          <w:lang w:val="en-US" w:eastAsia="en-US"/>
        </w:rPr>
        <w:t>.</w:t>
      </w:r>
      <w:r w:rsidR="008D3D1A" w:rsidRPr="008D3D1A">
        <w:rPr>
          <w:rFonts w:eastAsia="Times New Roman" w:cstheme="minorHAnsi"/>
          <w:lang w:eastAsia="en-US"/>
        </w:rPr>
        <w:t> </w:t>
      </w:r>
      <w:r w:rsidR="008D3D1A">
        <w:rPr>
          <w:rFonts w:eastAsia="Times New Roman" w:cstheme="minorHAnsi"/>
          <w:lang w:eastAsia="en-US"/>
        </w:rPr>
        <w:t xml:space="preserve">The share of the subsidy of the </w:t>
      </w:r>
      <w:r w:rsidR="008D3D1A" w:rsidRPr="008D3D1A">
        <w:rPr>
          <w:rFonts w:eastAsia="Times New Roman" w:cstheme="minorHAnsi"/>
          <w:lang w:eastAsia="en-US"/>
        </w:rPr>
        <w:t xml:space="preserve">upstream companies’ </w:t>
      </w:r>
      <w:r w:rsidR="008D3D1A">
        <w:rPr>
          <w:rFonts w:eastAsia="Times New Roman" w:cstheme="minorHAnsi"/>
          <w:lang w:eastAsia="en-US"/>
        </w:rPr>
        <w:t>in 2011-12 was nearly 39.7% of the losses of the oil marketing companies. Not only has the subsidy burden</w:t>
      </w:r>
      <w:r w:rsidR="00C976DA">
        <w:rPr>
          <w:rFonts w:eastAsia="Times New Roman" w:cstheme="minorHAnsi"/>
          <w:lang w:eastAsia="en-US"/>
        </w:rPr>
        <w:t>,</w:t>
      </w:r>
      <w:r w:rsidR="008D3D1A">
        <w:rPr>
          <w:rFonts w:eastAsia="Times New Roman" w:cstheme="minorHAnsi"/>
          <w:lang w:eastAsia="en-US"/>
        </w:rPr>
        <w:t xml:space="preserve"> borne by the upstream </w:t>
      </w:r>
      <w:r w:rsidR="00B913EB">
        <w:rPr>
          <w:rFonts w:eastAsia="Times New Roman" w:cstheme="minorHAnsi"/>
          <w:lang w:eastAsia="en-US"/>
        </w:rPr>
        <w:t>companies</w:t>
      </w:r>
      <w:r w:rsidR="00C976DA">
        <w:rPr>
          <w:rFonts w:eastAsia="Times New Roman" w:cstheme="minorHAnsi"/>
          <w:lang w:eastAsia="en-US"/>
        </w:rPr>
        <w:t>,</w:t>
      </w:r>
      <w:r w:rsidR="00B913EB">
        <w:rPr>
          <w:rFonts w:eastAsia="Times New Roman" w:cstheme="minorHAnsi"/>
          <w:lang w:eastAsia="en-US"/>
        </w:rPr>
        <w:t xml:space="preserve"> been</w:t>
      </w:r>
      <w:r w:rsidR="008D3D1A">
        <w:rPr>
          <w:rFonts w:eastAsia="Times New Roman" w:cstheme="minorHAnsi"/>
          <w:lang w:eastAsia="en-US"/>
        </w:rPr>
        <w:t xml:space="preserve"> creeping up from the previous years </w:t>
      </w:r>
      <w:r w:rsidR="00B913EB">
        <w:rPr>
          <w:rFonts w:eastAsia="Times New Roman" w:cstheme="minorHAnsi"/>
          <w:lang w:eastAsia="en-US"/>
        </w:rPr>
        <w:t>(in</w:t>
      </w:r>
      <w:r w:rsidR="008D3D1A">
        <w:rPr>
          <w:rFonts w:eastAsia="Times New Roman" w:cstheme="minorHAnsi"/>
          <w:lang w:eastAsia="en-US"/>
        </w:rPr>
        <w:t xml:space="preserve"> FY 10-11 it </w:t>
      </w:r>
      <w:r w:rsidR="00B913EB">
        <w:rPr>
          <w:rFonts w:eastAsia="Times New Roman" w:cstheme="minorHAnsi"/>
          <w:lang w:eastAsia="en-US"/>
        </w:rPr>
        <w:t xml:space="preserve">was </w:t>
      </w:r>
      <w:r w:rsidR="00B913EB" w:rsidRPr="008D3D1A">
        <w:rPr>
          <w:rFonts w:eastAsia="Times New Roman" w:cstheme="minorHAnsi"/>
          <w:lang w:eastAsia="en-US"/>
        </w:rPr>
        <w:t>36.75</w:t>
      </w:r>
      <w:r w:rsidR="008D3D1A">
        <w:rPr>
          <w:rFonts w:eastAsia="Times New Roman" w:cstheme="minorHAnsi"/>
          <w:lang w:eastAsia="en-US"/>
        </w:rPr>
        <w:t xml:space="preserve">% of the losses of the oil marketing companies while in FY09-10 </w:t>
      </w:r>
      <w:r w:rsidR="008D3D1A" w:rsidRPr="008D3D1A">
        <w:rPr>
          <w:rFonts w:eastAsia="Times New Roman" w:cstheme="minorHAnsi"/>
          <w:lang w:eastAsia="en-US"/>
        </w:rPr>
        <w:t>it was about 33.3</w:t>
      </w:r>
      <w:r w:rsidR="008D3D1A">
        <w:rPr>
          <w:rFonts w:eastAsia="Times New Roman" w:cstheme="minorHAnsi"/>
          <w:lang w:eastAsia="en-US"/>
        </w:rPr>
        <w:t>%), it has been ad-hoc and is usually</w:t>
      </w:r>
      <w:r w:rsidR="008D3D1A" w:rsidRPr="008D3D1A">
        <w:rPr>
          <w:rFonts w:eastAsia="Times New Roman" w:cstheme="minorHAnsi"/>
          <w:lang w:eastAsia="en-US"/>
        </w:rPr>
        <w:t xml:space="preserve"> arbitrarily inflicted at the last minute – just before the books are closed</w:t>
      </w:r>
      <w:r w:rsidR="00550194">
        <w:rPr>
          <w:rFonts w:eastAsia="Times New Roman" w:cstheme="minorHAnsi"/>
          <w:lang w:eastAsia="en-US"/>
        </w:rPr>
        <w:t xml:space="preserve"> –in a non transparent manner</w:t>
      </w:r>
      <w:r w:rsidR="00550194">
        <w:rPr>
          <w:rStyle w:val="FootnoteReference"/>
          <w:rFonts w:eastAsia="Times New Roman" w:cstheme="minorHAnsi"/>
          <w:lang w:eastAsia="en-US"/>
        </w:rPr>
        <w:footnoteReference w:id="80"/>
      </w:r>
      <w:r w:rsidR="008D3D1A" w:rsidRPr="008D3D1A">
        <w:rPr>
          <w:rFonts w:eastAsia="Times New Roman" w:cstheme="minorHAnsi"/>
          <w:lang w:eastAsia="en-US"/>
        </w:rPr>
        <w:t>.</w:t>
      </w:r>
    </w:p>
    <w:p w:rsidR="00115007" w:rsidRDefault="00B00C45" w:rsidP="00B00C45">
      <w:pPr>
        <w:rPr>
          <w:rFonts w:eastAsia="Times New Roman" w:cstheme="minorHAnsi"/>
          <w:lang w:val="en-US" w:eastAsia="en-US"/>
        </w:rPr>
      </w:pPr>
      <w:r>
        <w:t xml:space="preserve"> </w:t>
      </w:r>
      <w:r w:rsidRPr="00B00C45">
        <w:rPr>
          <w:rFonts w:eastAsia="Times New Roman" w:cstheme="minorHAnsi"/>
          <w:lang w:val="en-US" w:eastAsia="en-US"/>
        </w:rPr>
        <w:t xml:space="preserve">Because of the highly subsidized sale of Diesel, Domestic LPG and PDS Kerosene, the </w:t>
      </w:r>
      <w:r w:rsidR="002B7983">
        <w:rPr>
          <w:rFonts w:eastAsia="Times New Roman" w:cstheme="minorHAnsi"/>
          <w:lang w:val="en-US" w:eastAsia="en-US"/>
        </w:rPr>
        <w:t xml:space="preserve">oil marketing companies have been </w:t>
      </w:r>
      <w:r w:rsidR="002B7983" w:rsidRPr="00B00C45">
        <w:rPr>
          <w:rFonts w:eastAsia="Times New Roman" w:cstheme="minorHAnsi"/>
          <w:lang w:val="en-US" w:eastAsia="en-US"/>
        </w:rPr>
        <w:t>under</w:t>
      </w:r>
      <w:r w:rsidR="002B7983">
        <w:rPr>
          <w:rFonts w:eastAsia="Times New Roman" w:cstheme="minorHAnsi"/>
          <w:lang w:val="en-US" w:eastAsia="en-US"/>
        </w:rPr>
        <w:t xml:space="preserve"> a</w:t>
      </w:r>
      <w:r w:rsidRPr="00B00C45">
        <w:rPr>
          <w:rFonts w:eastAsia="Times New Roman" w:cstheme="minorHAnsi"/>
          <w:lang w:val="en-US" w:eastAsia="en-US"/>
        </w:rPr>
        <w:t xml:space="preserve"> huge financial strain. Their combined borrowings have gone up from Rs.97, 000 crore in March 2011 to a whopping amount of Rs.1, 28,000 crore in March 2012. Similarly, their interest burden has gone up from Rs. 4,700 crore in 2010-11 to Rs. 9,500 crore in 2011-12</w:t>
      </w:r>
      <w:r>
        <w:rPr>
          <w:rStyle w:val="FootnoteReference"/>
          <w:rFonts w:eastAsia="Times New Roman" w:cstheme="minorHAnsi"/>
          <w:lang w:val="en-US" w:eastAsia="en-US"/>
        </w:rPr>
        <w:footnoteReference w:id="81"/>
      </w:r>
      <w:r w:rsidRPr="00B00C45">
        <w:rPr>
          <w:rFonts w:eastAsia="Times New Roman" w:cstheme="minorHAnsi"/>
          <w:lang w:val="en-US" w:eastAsia="en-US"/>
        </w:rPr>
        <w:t xml:space="preserve">. If the government and upstream assistance was not made available to the </w:t>
      </w:r>
      <w:r w:rsidR="002B7983">
        <w:rPr>
          <w:rFonts w:eastAsia="Times New Roman" w:cstheme="minorHAnsi"/>
          <w:lang w:val="en-US" w:eastAsia="en-US"/>
        </w:rPr>
        <w:t>oil marketing companies</w:t>
      </w:r>
      <w:r w:rsidRPr="00B00C45">
        <w:rPr>
          <w:rFonts w:eastAsia="Times New Roman" w:cstheme="minorHAnsi"/>
          <w:lang w:val="en-US" w:eastAsia="en-US"/>
        </w:rPr>
        <w:t xml:space="preserve">, to make good their losses, they would not have been in a position to raise necessary finance to purchase </w:t>
      </w:r>
      <w:r>
        <w:rPr>
          <w:rFonts w:eastAsia="Times New Roman" w:cstheme="minorHAnsi"/>
          <w:lang w:val="en-US" w:eastAsia="en-US"/>
        </w:rPr>
        <w:t>c</w:t>
      </w:r>
      <w:r w:rsidRPr="00B00C45">
        <w:rPr>
          <w:rFonts w:eastAsia="Times New Roman" w:cstheme="minorHAnsi"/>
          <w:lang w:val="en-US" w:eastAsia="en-US"/>
        </w:rPr>
        <w:t>rude from the international market and maintain uninterrupted supply of petroleum products in the country.</w:t>
      </w:r>
      <w:r w:rsidR="00115007" w:rsidRPr="00115007">
        <w:rPr>
          <w:rFonts w:eastAsia="Times New Roman" w:cstheme="minorHAnsi"/>
          <w:lang w:val="en-US" w:eastAsia="en-US"/>
        </w:rPr>
        <w:t xml:space="preserve"> </w:t>
      </w:r>
    </w:p>
    <w:p w:rsidR="002B7983" w:rsidRPr="00744B28" w:rsidRDefault="002B7983" w:rsidP="002B7983">
      <w:pPr>
        <w:spacing w:after="0"/>
        <w:rPr>
          <w:lang w:val="en-US"/>
        </w:rPr>
      </w:pPr>
      <w:r>
        <w:rPr>
          <w:lang w:val="en-US"/>
        </w:rPr>
        <w:t>The stranglehold of the GoI in the pricing of petroleum products affects not only the oil marketing companies but the upstream companies as well.</w:t>
      </w:r>
      <w:r w:rsidR="00B6776C">
        <w:rPr>
          <w:lang w:val="en-US"/>
        </w:rPr>
        <w:t xml:space="preserve"> In a report on </w:t>
      </w:r>
      <w:r w:rsidR="00B6776C" w:rsidRPr="00744B28">
        <w:rPr>
          <w:lang w:val="en-US"/>
        </w:rPr>
        <w:t>Oil and Natural Gas Corporation</w:t>
      </w:r>
      <w:r w:rsidR="00B6776C">
        <w:rPr>
          <w:lang w:val="en-US"/>
        </w:rPr>
        <w:t xml:space="preserve"> (ONGC),  </w:t>
      </w:r>
      <w:r>
        <w:rPr>
          <w:lang w:val="en-US"/>
        </w:rPr>
        <w:t xml:space="preserve"> In</w:t>
      </w:r>
      <w:r w:rsidRPr="00744B28">
        <w:rPr>
          <w:lang w:val="en-US"/>
        </w:rPr>
        <w:t xml:space="preserve">vestment banker Goldman Sachs </w:t>
      </w:r>
      <w:r w:rsidR="00B6776C">
        <w:rPr>
          <w:lang w:val="en-US"/>
        </w:rPr>
        <w:t>pointed towards</w:t>
      </w:r>
      <w:r w:rsidRPr="00744B28">
        <w:rPr>
          <w:lang w:val="en-US"/>
        </w:rPr>
        <w:t xml:space="preserve"> corporate governance issues  saying the government</w:t>
      </w:r>
      <w:r w:rsidR="00B6776C">
        <w:rPr>
          <w:lang w:val="en-US"/>
        </w:rPr>
        <w:t xml:space="preserve"> of India (who owned 74% stake in ONGC)</w:t>
      </w:r>
      <w:r w:rsidRPr="00744B28">
        <w:rPr>
          <w:lang w:val="en-US"/>
        </w:rPr>
        <w:t xml:space="preserve"> took $20 billion in cash </w:t>
      </w:r>
      <w:r>
        <w:rPr>
          <w:lang w:val="en-US"/>
        </w:rPr>
        <w:t>from 2003-04 onwards</w:t>
      </w:r>
      <w:r w:rsidRPr="00744B28">
        <w:rPr>
          <w:lang w:val="en-US"/>
        </w:rPr>
        <w:t xml:space="preserve"> from the company without consulting minority shareholders</w:t>
      </w:r>
      <w:r>
        <w:rPr>
          <w:rStyle w:val="FootnoteReference"/>
          <w:lang w:val="en-US"/>
        </w:rPr>
        <w:footnoteReference w:id="82"/>
      </w:r>
      <w:r w:rsidRPr="00744B28">
        <w:rPr>
          <w:lang w:val="en-US"/>
        </w:rPr>
        <w:t>.</w:t>
      </w:r>
      <w:r w:rsidR="00BC53B4">
        <w:rPr>
          <w:lang w:val="en-US"/>
        </w:rPr>
        <w:t xml:space="preserve"> Though this charge was strongly refuted by ONGC </w:t>
      </w:r>
      <w:r w:rsidR="00BC53B4">
        <w:rPr>
          <w:rStyle w:val="FootnoteReference"/>
          <w:lang w:val="en-US"/>
        </w:rPr>
        <w:footnoteReference w:id="83"/>
      </w:r>
      <w:r w:rsidR="00BC53B4">
        <w:rPr>
          <w:lang w:val="en-US"/>
        </w:rPr>
        <w:t xml:space="preserve">it has, nonetheless, stuck. </w:t>
      </w:r>
    </w:p>
    <w:p w:rsidR="005F74C4" w:rsidRDefault="00B913EB" w:rsidP="005F74C4">
      <w:pPr>
        <w:spacing w:after="0"/>
        <w:rPr>
          <w:lang w:val="en-US"/>
        </w:rPr>
      </w:pPr>
      <w:r>
        <w:rPr>
          <w:lang w:val="en-US"/>
        </w:rPr>
        <w:lastRenderedPageBreak/>
        <w:t>S</w:t>
      </w:r>
      <w:r w:rsidR="00550194">
        <w:rPr>
          <w:lang w:val="en-US"/>
        </w:rPr>
        <w:t xml:space="preserve">uch a situation, characterized by the lack of a coherent and consistent government policy for the oil sector, </w:t>
      </w:r>
      <w:r>
        <w:rPr>
          <w:lang w:val="en-US"/>
        </w:rPr>
        <w:t>has resulted in decisions being taken which are ostensibly not in the interest of the minority shareholders and have significantly impacted how the investors perceive the oil companies; t</w:t>
      </w:r>
      <w:r w:rsidR="005F74C4" w:rsidRPr="00776671">
        <w:rPr>
          <w:lang w:val="en-US"/>
        </w:rPr>
        <w:t xml:space="preserve">he damage done to </w:t>
      </w:r>
      <w:r>
        <w:rPr>
          <w:lang w:val="en-US"/>
        </w:rPr>
        <w:t xml:space="preserve">the </w:t>
      </w:r>
      <w:r w:rsidR="005F74C4" w:rsidRPr="00776671">
        <w:rPr>
          <w:lang w:val="en-US"/>
        </w:rPr>
        <w:t>stocks</w:t>
      </w:r>
      <w:r>
        <w:rPr>
          <w:lang w:val="en-US"/>
        </w:rPr>
        <w:t xml:space="preserve"> of the oil companies </w:t>
      </w:r>
      <w:r w:rsidRPr="00776671">
        <w:rPr>
          <w:lang w:val="en-US"/>
        </w:rPr>
        <w:t>has</w:t>
      </w:r>
      <w:r w:rsidR="005F74C4" w:rsidRPr="00776671">
        <w:rPr>
          <w:lang w:val="en-US"/>
        </w:rPr>
        <w:t xml:space="preserve"> been considerable and, more </w:t>
      </w:r>
      <w:r w:rsidR="00D37B24" w:rsidRPr="00776671">
        <w:rPr>
          <w:lang w:val="en-US"/>
        </w:rPr>
        <w:t>important;</w:t>
      </w:r>
      <w:r w:rsidR="005F74C4" w:rsidRPr="00776671">
        <w:rPr>
          <w:lang w:val="en-US"/>
        </w:rPr>
        <w:t xml:space="preserve"> the </w:t>
      </w:r>
      <w:r w:rsidRPr="00776671">
        <w:rPr>
          <w:lang w:val="en-US"/>
        </w:rPr>
        <w:t>signaling</w:t>
      </w:r>
      <w:r w:rsidR="005F74C4" w:rsidRPr="00776671">
        <w:rPr>
          <w:lang w:val="en-US"/>
        </w:rPr>
        <w:t xml:space="preserve"> effect has been distinctly negative.</w:t>
      </w:r>
    </w:p>
    <w:p w:rsidR="00B913EB" w:rsidRDefault="00B913EB" w:rsidP="005F74C4">
      <w:pPr>
        <w:spacing w:after="0"/>
        <w:rPr>
          <w:lang w:val="en-US"/>
        </w:rPr>
      </w:pPr>
    </w:p>
    <w:p w:rsidR="00B913EB" w:rsidRDefault="00B913EB" w:rsidP="005F74C4">
      <w:pPr>
        <w:spacing w:after="0"/>
        <w:rPr>
          <w:lang w:val="en-US"/>
        </w:rPr>
      </w:pPr>
      <w:r>
        <w:rPr>
          <w:lang w:val="en-US"/>
        </w:rPr>
        <w:t xml:space="preserve">And this has happened at the cost of the minority shareholders who occupy a not so </w:t>
      </w:r>
      <w:r w:rsidR="009C2DF0">
        <w:rPr>
          <w:lang w:val="en-US"/>
        </w:rPr>
        <w:t>insignificant</w:t>
      </w:r>
      <w:r>
        <w:rPr>
          <w:lang w:val="en-US"/>
        </w:rPr>
        <w:t xml:space="preserve"> share in the ownership of the oil companies.</w:t>
      </w:r>
    </w:p>
    <w:p w:rsidR="00D729CD" w:rsidRDefault="00D729CD" w:rsidP="005F74C4">
      <w:pPr>
        <w:spacing w:after="0"/>
        <w:rPr>
          <w:lang w:val="en-US"/>
        </w:rPr>
      </w:pPr>
    </w:p>
    <w:p w:rsidR="009C2DF0" w:rsidRPr="009C2DF0" w:rsidRDefault="009C2DF0" w:rsidP="009C2DF0">
      <w:pPr>
        <w:spacing w:after="0"/>
        <w:rPr>
          <w:b/>
          <w:u w:val="single"/>
          <w:lang w:val="en-US"/>
        </w:rPr>
      </w:pPr>
      <w:r>
        <w:rPr>
          <w:lang w:val="en-US"/>
        </w:rPr>
        <w:t xml:space="preserve">                                                </w:t>
      </w:r>
      <w:r w:rsidRPr="009C2DF0">
        <w:rPr>
          <w:b/>
          <w:u w:val="single"/>
          <w:lang w:val="en-US"/>
        </w:rPr>
        <w:t>Non government shareholding in Oil Companies</w:t>
      </w:r>
      <w:r>
        <w:rPr>
          <w:b/>
          <w:u w:val="single"/>
          <w:lang w:val="en-US"/>
        </w:rPr>
        <w:t>*</w:t>
      </w:r>
    </w:p>
    <w:p w:rsidR="00B913EB" w:rsidRDefault="00B913EB" w:rsidP="005F74C4">
      <w:pPr>
        <w:spacing w:after="0"/>
        <w:rPr>
          <w:lang w:val="en-US"/>
        </w:rPr>
      </w:pPr>
    </w:p>
    <w:tbl>
      <w:tblPr>
        <w:tblStyle w:val="TableGrid"/>
        <w:tblW w:w="0" w:type="auto"/>
        <w:tblInd w:w="1485" w:type="dxa"/>
        <w:tblLook w:val="04A0"/>
      </w:tblPr>
      <w:tblGrid>
        <w:gridCol w:w="726"/>
        <w:gridCol w:w="3297"/>
        <w:gridCol w:w="2070"/>
      </w:tblGrid>
      <w:tr w:rsidR="00B913EB" w:rsidTr="00B913EB">
        <w:tc>
          <w:tcPr>
            <w:tcW w:w="726" w:type="dxa"/>
          </w:tcPr>
          <w:p w:rsidR="00B913EB" w:rsidRPr="00B913EB" w:rsidRDefault="00B913EB" w:rsidP="00B913EB">
            <w:pPr>
              <w:jc w:val="center"/>
              <w:rPr>
                <w:b/>
                <w:u w:val="single"/>
                <w:lang w:val="en-US"/>
              </w:rPr>
            </w:pPr>
            <w:r w:rsidRPr="00B913EB">
              <w:rPr>
                <w:b/>
                <w:u w:val="single"/>
                <w:lang w:val="en-US"/>
              </w:rPr>
              <w:t>Serial No.</w:t>
            </w:r>
          </w:p>
        </w:tc>
        <w:tc>
          <w:tcPr>
            <w:tcW w:w="3297" w:type="dxa"/>
          </w:tcPr>
          <w:p w:rsidR="00B913EB" w:rsidRPr="00B913EB" w:rsidRDefault="00B913EB" w:rsidP="00B913EB">
            <w:pPr>
              <w:jc w:val="center"/>
              <w:rPr>
                <w:b/>
                <w:u w:val="single"/>
                <w:lang w:val="en-US"/>
              </w:rPr>
            </w:pPr>
            <w:r w:rsidRPr="00B913EB">
              <w:rPr>
                <w:b/>
                <w:u w:val="single"/>
                <w:lang w:val="en-US"/>
              </w:rPr>
              <w:t>Oil Company</w:t>
            </w:r>
          </w:p>
        </w:tc>
        <w:tc>
          <w:tcPr>
            <w:tcW w:w="2070" w:type="dxa"/>
          </w:tcPr>
          <w:p w:rsidR="00B913EB" w:rsidRPr="00B913EB" w:rsidRDefault="00B913EB" w:rsidP="00B913EB">
            <w:pPr>
              <w:jc w:val="center"/>
              <w:rPr>
                <w:b/>
                <w:u w:val="single"/>
                <w:lang w:val="en-US"/>
              </w:rPr>
            </w:pPr>
            <w:r w:rsidRPr="00B913EB">
              <w:rPr>
                <w:b/>
                <w:u w:val="single"/>
                <w:lang w:val="en-US"/>
              </w:rPr>
              <w:t>% of non government shareholding</w:t>
            </w:r>
          </w:p>
        </w:tc>
      </w:tr>
      <w:tr w:rsidR="00B913EB" w:rsidTr="00B913EB">
        <w:tc>
          <w:tcPr>
            <w:tcW w:w="726" w:type="dxa"/>
          </w:tcPr>
          <w:p w:rsidR="00B913EB" w:rsidRDefault="00B913EB" w:rsidP="00D9424D">
            <w:pPr>
              <w:jc w:val="center"/>
              <w:rPr>
                <w:lang w:val="en-US"/>
              </w:rPr>
            </w:pPr>
            <w:r>
              <w:rPr>
                <w:lang w:val="en-US"/>
              </w:rPr>
              <w:t>1</w:t>
            </w:r>
          </w:p>
        </w:tc>
        <w:tc>
          <w:tcPr>
            <w:tcW w:w="3297" w:type="dxa"/>
          </w:tcPr>
          <w:p w:rsidR="00B913EB" w:rsidRDefault="00B913EB" w:rsidP="005F74C4">
            <w:pPr>
              <w:rPr>
                <w:lang w:val="en-US"/>
              </w:rPr>
            </w:pPr>
            <w:r>
              <w:rPr>
                <w:lang w:val="en-US"/>
              </w:rPr>
              <w:t>Indian Oil Corporation</w:t>
            </w:r>
          </w:p>
        </w:tc>
        <w:tc>
          <w:tcPr>
            <w:tcW w:w="2070" w:type="dxa"/>
          </w:tcPr>
          <w:p w:rsidR="00B913EB" w:rsidRDefault="009C2DF0" w:rsidP="00D9424D">
            <w:pPr>
              <w:jc w:val="center"/>
              <w:rPr>
                <w:lang w:val="en-US"/>
              </w:rPr>
            </w:pPr>
            <w:r>
              <w:rPr>
                <w:lang w:val="en-US"/>
              </w:rPr>
              <w:t>21.08</w:t>
            </w:r>
            <w:r w:rsidR="009C2FBD">
              <w:rPr>
                <w:lang w:val="en-US"/>
              </w:rPr>
              <w:t xml:space="preserve"> %</w:t>
            </w:r>
          </w:p>
        </w:tc>
      </w:tr>
      <w:tr w:rsidR="00B913EB" w:rsidTr="00B913EB">
        <w:tc>
          <w:tcPr>
            <w:tcW w:w="726" w:type="dxa"/>
          </w:tcPr>
          <w:p w:rsidR="00B913EB" w:rsidRDefault="00B913EB" w:rsidP="00D9424D">
            <w:pPr>
              <w:jc w:val="center"/>
              <w:rPr>
                <w:lang w:val="en-US"/>
              </w:rPr>
            </w:pPr>
            <w:r>
              <w:rPr>
                <w:lang w:val="en-US"/>
              </w:rPr>
              <w:t>2</w:t>
            </w:r>
          </w:p>
        </w:tc>
        <w:tc>
          <w:tcPr>
            <w:tcW w:w="3297" w:type="dxa"/>
          </w:tcPr>
          <w:p w:rsidR="00B913EB" w:rsidRDefault="00B913EB" w:rsidP="005F74C4">
            <w:pPr>
              <w:rPr>
                <w:lang w:val="en-US"/>
              </w:rPr>
            </w:pPr>
            <w:r>
              <w:rPr>
                <w:lang w:val="en-US"/>
              </w:rPr>
              <w:t>Hindustan Petroleum Corporation</w:t>
            </w:r>
          </w:p>
        </w:tc>
        <w:tc>
          <w:tcPr>
            <w:tcW w:w="2070" w:type="dxa"/>
          </w:tcPr>
          <w:p w:rsidR="00B913EB" w:rsidRDefault="009C2FBD" w:rsidP="00D9424D">
            <w:pPr>
              <w:jc w:val="center"/>
              <w:rPr>
                <w:lang w:val="en-US"/>
              </w:rPr>
            </w:pPr>
            <w:r>
              <w:rPr>
                <w:lang w:val="en-US"/>
              </w:rPr>
              <w:t>48.89 %</w:t>
            </w:r>
          </w:p>
        </w:tc>
      </w:tr>
      <w:tr w:rsidR="00B913EB" w:rsidTr="00B913EB">
        <w:tc>
          <w:tcPr>
            <w:tcW w:w="726" w:type="dxa"/>
          </w:tcPr>
          <w:p w:rsidR="00B913EB" w:rsidRDefault="00B913EB" w:rsidP="00D9424D">
            <w:pPr>
              <w:jc w:val="center"/>
              <w:rPr>
                <w:lang w:val="en-US"/>
              </w:rPr>
            </w:pPr>
            <w:r>
              <w:rPr>
                <w:lang w:val="en-US"/>
              </w:rPr>
              <w:t>3</w:t>
            </w:r>
          </w:p>
        </w:tc>
        <w:tc>
          <w:tcPr>
            <w:tcW w:w="3297" w:type="dxa"/>
          </w:tcPr>
          <w:p w:rsidR="00B913EB" w:rsidRDefault="00B913EB" w:rsidP="005F74C4">
            <w:pPr>
              <w:rPr>
                <w:lang w:val="en-US"/>
              </w:rPr>
            </w:pPr>
            <w:r>
              <w:rPr>
                <w:lang w:val="en-US"/>
              </w:rPr>
              <w:t>Bharat Petroleum Corporation Ltd.</w:t>
            </w:r>
          </w:p>
        </w:tc>
        <w:tc>
          <w:tcPr>
            <w:tcW w:w="2070" w:type="dxa"/>
          </w:tcPr>
          <w:p w:rsidR="00B913EB" w:rsidRDefault="009C2FBD" w:rsidP="00D9424D">
            <w:pPr>
              <w:jc w:val="center"/>
              <w:rPr>
                <w:lang w:val="en-US"/>
              </w:rPr>
            </w:pPr>
            <w:r>
              <w:rPr>
                <w:lang w:val="en-US"/>
              </w:rPr>
              <w:t>45.07 %</w:t>
            </w:r>
          </w:p>
        </w:tc>
      </w:tr>
      <w:tr w:rsidR="00B913EB" w:rsidTr="00B913EB">
        <w:tc>
          <w:tcPr>
            <w:tcW w:w="726" w:type="dxa"/>
          </w:tcPr>
          <w:p w:rsidR="00B913EB" w:rsidRDefault="00B913EB" w:rsidP="00D9424D">
            <w:pPr>
              <w:jc w:val="center"/>
              <w:rPr>
                <w:lang w:val="en-US"/>
              </w:rPr>
            </w:pPr>
            <w:r>
              <w:rPr>
                <w:lang w:val="en-US"/>
              </w:rPr>
              <w:t>4</w:t>
            </w:r>
          </w:p>
        </w:tc>
        <w:tc>
          <w:tcPr>
            <w:tcW w:w="3297" w:type="dxa"/>
          </w:tcPr>
          <w:p w:rsidR="00B913EB" w:rsidRDefault="00B913EB" w:rsidP="005F74C4">
            <w:pPr>
              <w:rPr>
                <w:lang w:val="en-US"/>
              </w:rPr>
            </w:pPr>
            <w:r>
              <w:rPr>
                <w:lang w:val="en-US"/>
              </w:rPr>
              <w:t>Oil India Limited</w:t>
            </w:r>
          </w:p>
        </w:tc>
        <w:tc>
          <w:tcPr>
            <w:tcW w:w="2070" w:type="dxa"/>
          </w:tcPr>
          <w:p w:rsidR="00B913EB" w:rsidRDefault="009C2DF0" w:rsidP="00D9424D">
            <w:pPr>
              <w:jc w:val="center"/>
              <w:rPr>
                <w:lang w:val="en-US"/>
              </w:rPr>
            </w:pPr>
            <w:r>
              <w:rPr>
                <w:lang w:val="en-US"/>
              </w:rPr>
              <w:t>21.57 %</w:t>
            </w:r>
          </w:p>
        </w:tc>
      </w:tr>
      <w:tr w:rsidR="00B913EB" w:rsidTr="00B913EB">
        <w:tc>
          <w:tcPr>
            <w:tcW w:w="726" w:type="dxa"/>
          </w:tcPr>
          <w:p w:rsidR="00B913EB" w:rsidRDefault="00B913EB" w:rsidP="00D9424D">
            <w:pPr>
              <w:jc w:val="center"/>
              <w:rPr>
                <w:lang w:val="en-US"/>
              </w:rPr>
            </w:pPr>
            <w:r>
              <w:rPr>
                <w:lang w:val="en-US"/>
              </w:rPr>
              <w:t>5</w:t>
            </w:r>
          </w:p>
        </w:tc>
        <w:tc>
          <w:tcPr>
            <w:tcW w:w="3297" w:type="dxa"/>
          </w:tcPr>
          <w:p w:rsidR="00B913EB" w:rsidRDefault="00B913EB" w:rsidP="005F74C4">
            <w:pPr>
              <w:rPr>
                <w:lang w:val="en-US"/>
              </w:rPr>
            </w:pPr>
            <w:r>
              <w:rPr>
                <w:lang w:val="en-US"/>
              </w:rPr>
              <w:t>Oil &amp; Natural Gas Corporation</w:t>
            </w:r>
          </w:p>
        </w:tc>
        <w:tc>
          <w:tcPr>
            <w:tcW w:w="2070" w:type="dxa"/>
          </w:tcPr>
          <w:p w:rsidR="00B913EB" w:rsidRDefault="009C2DF0" w:rsidP="00D9424D">
            <w:pPr>
              <w:jc w:val="center"/>
              <w:rPr>
                <w:lang w:val="en-US"/>
              </w:rPr>
            </w:pPr>
            <w:r>
              <w:rPr>
                <w:lang w:val="en-US"/>
              </w:rPr>
              <w:t>30.77 %</w:t>
            </w:r>
          </w:p>
        </w:tc>
      </w:tr>
      <w:tr w:rsidR="00B913EB" w:rsidTr="00B913EB">
        <w:tc>
          <w:tcPr>
            <w:tcW w:w="726" w:type="dxa"/>
          </w:tcPr>
          <w:p w:rsidR="00B913EB" w:rsidRDefault="00B913EB" w:rsidP="00D9424D">
            <w:pPr>
              <w:jc w:val="center"/>
              <w:rPr>
                <w:lang w:val="en-US"/>
              </w:rPr>
            </w:pPr>
            <w:r>
              <w:rPr>
                <w:lang w:val="en-US"/>
              </w:rPr>
              <w:t>6</w:t>
            </w:r>
          </w:p>
        </w:tc>
        <w:tc>
          <w:tcPr>
            <w:tcW w:w="3297" w:type="dxa"/>
          </w:tcPr>
          <w:p w:rsidR="00B913EB" w:rsidRDefault="00B913EB" w:rsidP="005F74C4">
            <w:pPr>
              <w:rPr>
                <w:lang w:val="en-US"/>
              </w:rPr>
            </w:pPr>
            <w:r>
              <w:rPr>
                <w:lang w:val="en-US"/>
              </w:rPr>
              <w:t>Gas Authority of India Ltd.</w:t>
            </w:r>
          </w:p>
        </w:tc>
        <w:tc>
          <w:tcPr>
            <w:tcW w:w="2070" w:type="dxa"/>
          </w:tcPr>
          <w:p w:rsidR="00B913EB" w:rsidRDefault="009C2FBD" w:rsidP="00D9424D">
            <w:pPr>
              <w:jc w:val="center"/>
              <w:rPr>
                <w:lang w:val="en-US"/>
              </w:rPr>
            </w:pPr>
            <w:r>
              <w:rPr>
                <w:lang w:val="en-US"/>
              </w:rPr>
              <w:t>42.66 %</w:t>
            </w:r>
          </w:p>
        </w:tc>
      </w:tr>
    </w:tbl>
    <w:p w:rsidR="00B913EB" w:rsidRDefault="009C2DF0" w:rsidP="005F74C4">
      <w:pPr>
        <w:spacing w:after="0"/>
        <w:rPr>
          <w:lang w:val="en-US"/>
        </w:rPr>
      </w:pPr>
      <w:r>
        <w:rPr>
          <w:lang w:val="en-US"/>
        </w:rPr>
        <w:t xml:space="preserve">* Source: </w:t>
      </w:r>
      <w:r w:rsidR="009C2FBD">
        <w:rPr>
          <w:lang w:val="en-US"/>
        </w:rPr>
        <w:t>NSE website</w:t>
      </w:r>
      <w:r w:rsidR="001B776C">
        <w:rPr>
          <w:lang w:val="en-US"/>
        </w:rPr>
        <w:t xml:space="preserve"> </w:t>
      </w:r>
      <w:hyperlink r:id="rId17" w:history="1">
        <w:r w:rsidR="001B776C">
          <w:rPr>
            <w:rStyle w:val="Hyperlink"/>
          </w:rPr>
          <w:t>http://www.nseindia.com/</w:t>
        </w:r>
      </w:hyperlink>
    </w:p>
    <w:p w:rsidR="009A79D1" w:rsidRPr="00776671" w:rsidRDefault="009A79D1" w:rsidP="005F74C4">
      <w:pPr>
        <w:spacing w:after="0"/>
        <w:rPr>
          <w:lang w:val="en-US"/>
        </w:rPr>
      </w:pPr>
    </w:p>
    <w:p w:rsidR="006329DD" w:rsidRDefault="009C2FBD" w:rsidP="009C2FBD">
      <w:pPr>
        <w:pStyle w:val="NormalWeb"/>
        <w:spacing w:after="225" w:line="330" w:lineRule="atLeast"/>
        <w:textAlignment w:val="baseline"/>
        <w:rPr>
          <w:rFonts w:asciiTheme="minorHAnsi" w:hAnsiTheme="minorHAnsi" w:cstheme="minorHAnsi"/>
          <w:sz w:val="22"/>
          <w:szCs w:val="22"/>
        </w:rPr>
      </w:pPr>
      <w:r>
        <w:rPr>
          <w:rFonts w:asciiTheme="minorHAnsi" w:hAnsiTheme="minorHAnsi" w:cstheme="minorHAnsi"/>
          <w:sz w:val="22"/>
          <w:szCs w:val="22"/>
        </w:rPr>
        <w:t>The anecdotal evidence as regards corporate mis</w:t>
      </w:r>
      <w:r w:rsidR="00195815">
        <w:rPr>
          <w:rFonts w:asciiTheme="minorHAnsi" w:hAnsiTheme="minorHAnsi" w:cstheme="minorHAnsi"/>
          <w:sz w:val="22"/>
          <w:szCs w:val="22"/>
        </w:rPr>
        <w:t>-</w:t>
      </w:r>
      <w:r w:rsidR="009D6FD7">
        <w:rPr>
          <w:rFonts w:asciiTheme="minorHAnsi" w:hAnsiTheme="minorHAnsi" w:cstheme="minorHAnsi"/>
          <w:sz w:val="22"/>
          <w:szCs w:val="22"/>
        </w:rPr>
        <w:t xml:space="preserve"> </w:t>
      </w:r>
      <w:r>
        <w:rPr>
          <w:rFonts w:asciiTheme="minorHAnsi" w:hAnsiTheme="minorHAnsi" w:cstheme="minorHAnsi"/>
          <w:sz w:val="22"/>
          <w:szCs w:val="22"/>
        </w:rPr>
        <w:t>governance in GoI controlled SOEs is not good.</w:t>
      </w:r>
    </w:p>
    <w:p w:rsidR="001F5CF4" w:rsidRPr="002B7983" w:rsidRDefault="009C2FBD" w:rsidP="009C2FBD">
      <w:pPr>
        <w:pStyle w:val="NormalWeb"/>
        <w:spacing w:after="225" w:line="330"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  In a hard hitting article</w:t>
      </w:r>
      <w:r w:rsidR="00D9424D">
        <w:rPr>
          <w:rFonts w:asciiTheme="minorHAnsi" w:hAnsiTheme="minorHAnsi" w:cstheme="minorHAnsi"/>
          <w:sz w:val="22"/>
          <w:szCs w:val="22"/>
        </w:rPr>
        <w:t>, R Jagannatan has pointed out that a</w:t>
      </w:r>
      <w:r w:rsidR="001F5CF4" w:rsidRPr="002B7983">
        <w:rPr>
          <w:rFonts w:asciiTheme="minorHAnsi" w:hAnsiTheme="minorHAnsi" w:cstheme="minorHAnsi"/>
          <w:sz w:val="22"/>
          <w:szCs w:val="22"/>
        </w:rPr>
        <w:t xml:space="preserve">part from Coal </w:t>
      </w:r>
      <w:r w:rsidR="006329DD" w:rsidRPr="002B7983">
        <w:rPr>
          <w:rFonts w:asciiTheme="minorHAnsi" w:hAnsiTheme="minorHAnsi" w:cstheme="minorHAnsi"/>
          <w:sz w:val="22"/>
          <w:szCs w:val="22"/>
        </w:rPr>
        <w:t>India;</w:t>
      </w:r>
      <w:r w:rsidR="001F5CF4" w:rsidRPr="002B7983">
        <w:rPr>
          <w:rFonts w:asciiTheme="minorHAnsi" w:hAnsiTheme="minorHAnsi" w:cstheme="minorHAnsi"/>
          <w:sz w:val="22"/>
          <w:szCs w:val="22"/>
        </w:rPr>
        <w:t xml:space="preserve"> here are </w:t>
      </w:r>
      <w:r w:rsidR="006329DD">
        <w:rPr>
          <w:rFonts w:asciiTheme="minorHAnsi" w:hAnsiTheme="minorHAnsi" w:cstheme="minorHAnsi"/>
          <w:sz w:val="22"/>
          <w:szCs w:val="22"/>
        </w:rPr>
        <w:t xml:space="preserve">nine </w:t>
      </w:r>
      <w:r w:rsidR="006329DD" w:rsidRPr="002B7983">
        <w:rPr>
          <w:rFonts w:asciiTheme="minorHAnsi" w:hAnsiTheme="minorHAnsi" w:cstheme="minorHAnsi"/>
          <w:sz w:val="22"/>
          <w:szCs w:val="22"/>
        </w:rPr>
        <w:t>other</w:t>
      </w:r>
      <w:r w:rsidR="001F5CF4" w:rsidRPr="002B7983">
        <w:rPr>
          <w:rFonts w:asciiTheme="minorHAnsi" w:hAnsiTheme="minorHAnsi" w:cstheme="minorHAnsi"/>
          <w:sz w:val="22"/>
          <w:szCs w:val="22"/>
        </w:rPr>
        <w:t xml:space="preserve"> public sector undertakings whose shareholders should sue their boards and the government of India as promoter for lack of corporate </w:t>
      </w:r>
      <w:r w:rsidR="006329DD" w:rsidRPr="002B7983">
        <w:rPr>
          <w:rFonts w:asciiTheme="minorHAnsi" w:hAnsiTheme="minorHAnsi" w:cstheme="minorHAnsi"/>
          <w:sz w:val="22"/>
          <w:szCs w:val="22"/>
        </w:rPr>
        <w:t>governance</w:t>
      </w:r>
      <w:r w:rsidR="00D9424D">
        <w:rPr>
          <w:rStyle w:val="FootnoteReference"/>
          <w:rFonts w:asciiTheme="minorHAnsi" w:hAnsiTheme="minorHAnsi" w:cstheme="minorHAnsi"/>
          <w:sz w:val="22"/>
          <w:szCs w:val="22"/>
        </w:rPr>
        <w:footnoteReference w:id="84"/>
      </w:r>
      <w:r w:rsidR="001F5CF4" w:rsidRPr="002B7983">
        <w:rPr>
          <w:rFonts w:asciiTheme="minorHAnsi" w:hAnsiTheme="minorHAnsi" w:cstheme="minorHAnsi"/>
          <w:sz w:val="22"/>
          <w:szCs w:val="22"/>
        </w:rPr>
        <w:t>.</w:t>
      </w:r>
    </w:p>
    <w:p w:rsidR="00023A42" w:rsidRDefault="006329DD" w:rsidP="006329DD">
      <w:pPr>
        <w:pStyle w:val="NormalWeb"/>
        <w:spacing w:after="0" w:line="330" w:lineRule="atLeast"/>
        <w:textAlignment w:val="baseline"/>
        <w:rPr>
          <w:rFonts w:asciiTheme="minorHAnsi" w:hAnsiTheme="minorHAnsi" w:cstheme="minorHAnsi"/>
          <w:bCs/>
          <w:sz w:val="22"/>
          <w:szCs w:val="22"/>
        </w:rPr>
      </w:pPr>
      <w:r w:rsidRPr="006329DD">
        <w:rPr>
          <w:rFonts w:asciiTheme="minorHAnsi" w:hAnsiTheme="minorHAnsi" w:cstheme="minorHAnsi"/>
          <w:bCs/>
          <w:sz w:val="22"/>
          <w:szCs w:val="22"/>
        </w:rPr>
        <w:lastRenderedPageBreak/>
        <w:t xml:space="preserve"> </w:t>
      </w:r>
      <w:r w:rsidR="00D9424D" w:rsidRPr="006329DD">
        <w:rPr>
          <w:rFonts w:asciiTheme="minorHAnsi" w:hAnsiTheme="minorHAnsi" w:cstheme="minorHAnsi"/>
          <w:bCs/>
          <w:sz w:val="22"/>
          <w:szCs w:val="22"/>
        </w:rPr>
        <w:t xml:space="preserve">In fact, </w:t>
      </w:r>
      <w:r w:rsidR="00287F00">
        <w:rPr>
          <w:rFonts w:asciiTheme="minorHAnsi" w:hAnsiTheme="minorHAnsi" w:cstheme="minorHAnsi"/>
          <w:bCs/>
          <w:sz w:val="22"/>
          <w:szCs w:val="22"/>
        </w:rPr>
        <w:t>the sensitivity shown by ministers</w:t>
      </w:r>
      <w:r w:rsidR="00106702">
        <w:rPr>
          <w:rFonts w:asciiTheme="minorHAnsi" w:hAnsiTheme="minorHAnsi" w:cstheme="minorHAnsi"/>
          <w:bCs/>
          <w:sz w:val="22"/>
          <w:szCs w:val="22"/>
        </w:rPr>
        <w:t xml:space="preserve"> of GoI</w:t>
      </w:r>
      <w:r w:rsidR="00287F00">
        <w:rPr>
          <w:rFonts w:asciiTheme="minorHAnsi" w:hAnsiTheme="minorHAnsi" w:cstheme="minorHAnsi"/>
          <w:bCs/>
          <w:sz w:val="22"/>
          <w:szCs w:val="22"/>
        </w:rPr>
        <w:t xml:space="preserve"> towards corporate governance in </w:t>
      </w:r>
      <w:r w:rsidR="000F3DEF">
        <w:rPr>
          <w:rFonts w:asciiTheme="minorHAnsi" w:hAnsiTheme="minorHAnsi" w:cstheme="minorHAnsi"/>
          <w:bCs/>
          <w:sz w:val="22"/>
          <w:szCs w:val="22"/>
        </w:rPr>
        <w:t>SOEs</w:t>
      </w:r>
      <w:r w:rsidR="00D9424D" w:rsidRPr="006329DD">
        <w:rPr>
          <w:rFonts w:asciiTheme="minorHAnsi" w:hAnsiTheme="minorHAnsi" w:cstheme="minorHAnsi"/>
          <w:bCs/>
          <w:sz w:val="22"/>
          <w:szCs w:val="22"/>
        </w:rPr>
        <w:t xml:space="preserve"> under their charge</w:t>
      </w:r>
      <w:r w:rsidR="00287F00">
        <w:rPr>
          <w:rFonts w:asciiTheme="minorHAnsi" w:hAnsiTheme="minorHAnsi" w:cstheme="minorHAnsi"/>
          <w:bCs/>
          <w:sz w:val="22"/>
          <w:szCs w:val="22"/>
        </w:rPr>
        <w:t xml:space="preserve"> has been shocking and they have not hesitated to publicly voice their belief in using the SOEs to pursue the policy objectives of the government at the cost of the interest of the minority shareholders</w:t>
      </w:r>
      <w:r w:rsidR="00D9424D" w:rsidRPr="006329DD">
        <w:rPr>
          <w:rFonts w:asciiTheme="minorHAnsi" w:hAnsiTheme="minorHAnsi" w:cstheme="minorHAnsi"/>
          <w:bCs/>
          <w:sz w:val="22"/>
          <w:szCs w:val="22"/>
        </w:rPr>
        <w:t xml:space="preserve">. A few months back, </w:t>
      </w:r>
      <w:r w:rsidR="000F3DEF">
        <w:rPr>
          <w:rFonts w:asciiTheme="minorHAnsi" w:hAnsiTheme="minorHAnsi" w:cstheme="minorHAnsi"/>
          <w:bCs/>
          <w:sz w:val="22"/>
          <w:szCs w:val="22"/>
        </w:rPr>
        <w:t xml:space="preserve">GoI’s </w:t>
      </w:r>
      <w:r w:rsidR="00D9424D" w:rsidRPr="006329DD">
        <w:rPr>
          <w:rFonts w:asciiTheme="minorHAnsi" w:hAnsiTheme="minorHAnsi" w:cstheme="minorHAnsi"/>
          <w:bCs/>
          <w:sz w:val="22"/>
          <w:szCs w:val="22"/>
        </w:rPr>
        <w:t>Coal Minister Sriprakash Jaiswal was happily offering Coal India’s</w:t>
      </w:r>
      <w:r w:rsidR="00287F00">
        <w:rPr>
          <w:rFonts w:asciiTheme="minorHAnsi" w:hAnsiTheme="minorHAnsi" w:cstheme="minorHAnsi"/>
          <w:bCs/>
          <w:sz w:val="22"/>
          <w:szCs w:val="22"/>
        </w:rPr>
        <w:t xml:space="preserve"> surplus</w:t>
      </w:r>
      <w:r w:rsidR="00D9424D" w:rsidRPr="006329DD">
        <w:rPr>
          <w:rFonts w:asciiTheme="minorHAnsi" w:hAnsiTheme="minorHAnsi" w:cstheme="minorHAnsi"/>
          <w:bCs/>
          <w:sz w:val="22"/>
          <w:szCs w:val="22"/>
        </w:rPr>
        <w:t xml:space="preserve"> cash to fund </w:t>
      </w:r>
      <w:r w:rsidR="00212428">
        <w:rPr>
          <w:rFonts w:asciiTheme="minorHAnsi" w:hAnsiTheme="minorHAnsi" w:cstheme="minorHAnsi"/>
          <w:bCs/>
          <w:sz w:val="22"/>
          <w:szCs w:val="22"/>
        </w:rPr>
        <w:t xml:space="preserve">a proposed plan from the GoI for </w:t>
      </w:r>
      <w:r w:rsidR="00D9424D" w:rsidRPr="006329DD">
        <w:rPr>
          <w:rFonts w:asciiTheme="minorHAnsi" w:hAnsiTheme="minorHAnsi" w:cstheme="minorHAnsi"/>
          <w:bCs/>
          <w:sz w:val="22"/>
          <w:szCs w:val="22"/>
        </w:rPr>
        <w:t xml:space="preserve">food </w:t>
      </w:r>
      <w:r w:rsidR="000F3DEF" w:rsidRPr="006329DD">
        <w:rPr>
          <w:rFonts w:asciiTheme="minorHAnsi" w:hAnsiTheme="minorHAnsi" w:cstheme="minorHAnsi"/>
          <w:bCs/>
          <w:sz w:val="22"/>
          <w:szCs w:val="22"/>
        </w:rPr>
        <w:t>security. The</w:t>
      </w:r>
      <w:r w:rsidR="00D9424D" w:rsidRPr="006329DD">
        <w:rPr>
          <w:rFonts w:asciiTheme="minorHAnsi" w:hAnsiTheme="minorHAnsi" w:cstheme="minorHAnsi"/>
          <w:bCs/>
          <w:sz w:val="22"/>
          <w:szCs w:val="22"/>
        </w:rPr>
        <w:t xml:space="preserve"> minister said</w:t>
      </w:r>
      <w:r>
        <w:rPr>
          <w:rStyle w:val="FootnoteReference"/>
          <w:rFonts w:asciiTheme="minorHAnsi" w:hAnsiTheme="minorHAnsi" w:cstheme="minorHAnsi"/>
          <w:bCs/>
          <w:sz w:val="22"/>
          <w:szCs w:val="22"/>
        </w:rPr>
        <w:footnoteReference w:id="85"/>
      </w:r>
      <w:r w:rsidR="00D9424D" w:rsidRPr="006329DD">
        <w:rPr>
          <w:rFonts w:asciiTheme="minorHAnsi" w:hAnsiTheme="minorHAnsi" w:cstheme="minorHAnsi"/>
          <w:bCs/>
          <w:sz w:val="22"/>
          <w:szCs w:val="22"/>
        </w:rPr>
        <w:t xml:space="preserve"> </w:t>
      </w:r>
      <w:r w:rsidR="000F3DEF">
        <w:rPr>
          <w:rFonts w:asciiTheme="minorHAnsi" w:hAnsiTheme="minorHAnsi" w:cstheme="minorHAnsi"/>
          <w:bCs/>
          <w:sz w:val="22"/>
          <w:szCs w:val="22"/>
        </w:rPr>
        <w:t xml:space="preserve">that </w:t>
      </w:r>
      <w:r w:rsidR="00D9424D" w:rsidRPr="006329DD">
        <w:rPr>
          <w:rFonts w:asciiTheme="minorHAnsi" w:hAnsiTheme="minorHAnsi" w:cstheme="minorHAnsi"/>
          <w:bCs/>
          <w:sz w:val="22"/>
          <w:szCs w:val="22"/>
        </w:rPr>
        <w:t xml:space="preserve">he would not hesitate to help the government meet its social responsibilities with Coal India's cash </w:t>
      </w:r>
      <w:r w:rsidR="00D833F1">
        <w:rPr>
          <w:rFonts w:asciiTheme="minorHAnsi" w:hAnsiTheme="minorHAnsi" w:cstheme="minorHAnsi"/>
          <w:bCs/>
          <w:sz w:val="22"/>
          <w:szCs w:val="22"/>
        </w:rPr>
        <w:t>reserves</w:t>
      </w:r>
      <w:r w:rsidR="00D9424D" w:rsidRPr="006329DD">
        <w:rPr>
          <w:rFonts w:asciiTheme="minorHAnsi" w:hAnsiTheme="minorHAnsi" w:cstheme="minorHAnsi"/>
          <w:bCs/>
          <w:sz w:val="22"/>
          <w:szCs w:val="22"/>
        </w:rPr>
        <w:t xml:space="preserve"> as the state-run firm's wealth really belonged to the people of India. "Cash-rich companies like </w:t>
      </w:r>
      <w:hyperlink r:id="rId18" w:history="1">
        <w:r w:rsidR="00D9424D" w:rsidRPr="006329DD">
          <w:rPr>
            <w:rStyle w:val="Hyperlink"/>
            <w:rFonts w:asciiTheme="minorHAnsi" w:hAnsiTheme="minorHAnsi" w:cstheme="minorHAnsi"/>
            <w:bCs/>
            <w:color w:val="auto"/>
            <w:sz w:val="22"/>
            <w:szCs w:val="22"/>
            <w:u w:val="none"/>
          </w:rPr>
          <w:t>Coal India Ltd</w:t>
        </w:r>
      </w:hyperlink>
      <w:r w:rsidR="00D9424D" w:rsidRPr="006329DD">
        <w:rPr>
          <w:rFonts w:asciiTheme="minorHAnsi" w:hAnsiTheme="minorHAnsi" w:cstheme="minorHAnsi"/>
          <w:bCs/>
          <w:sz w:val="22"/>
          <w:szCs w:val="22"/>
        </w:rPr>
        <w:t> can lend to the government whenever the government is in need of funds. For example, enactment of the food security bill would require huge funds. Coal India belongs to the people of this country and an amount of Rs 25,000 crore can easily be given to the government for implementing social schemes. We, however, have not discussed anything with the finance ministry yet."</w:t>
      </w:r>
    </w:p>
    <w:p w:rsidR="00D833F1" w:rsidRDefault="00D833F1" w:rsidP="006329DD">
      <w:pPr>
        <w:pStyle w:val="NormalWeb"/>
        <w:spacing w:after="0" w:line="330" w:lineRule="atLeast"/>
        <w:textAlignment w:val="baseline"/>
        <w:rPr>
          <w:rFonts w:asciiTheme="minorHAnsi" w:hAnsiTheme="minorHAnsi" w:cstheme="minorHAnsi"/>
          <w:bCs/>
          <w:sz w:val="22"/>
          <w:szCs w:val="22"/>
        </w:rPr>
      </w:pPr>
    </w:p>
    <w:p w:rsidR="00D833F1" w:rsidRPr="006329DD" w:rsidRDefault="00D833F1" w:rsidP="006329DD">
      <w:pPr>
        <w:pStyle w:val="NormalWeb"/>
        <w:spacing w:after="0" w:line="330" w:lineRule="atLeast"/>
        <w:textAlignment w:val="baseline"/>
        <w:rPr>
          <w:rFonts w:asciiTheme="minorHAnsi" w:hAnsiTheme="minorHAnsi" w:cstheme="minorHAnsi"/>
          <w:bCs/>
          <w:sz w:val="22"/>
          <w:szCs w:val="22"/>
          <w:lang w:val="en-US"/>
        </w:rPr>
      </w:pPr>
      <w:r>
        <w:rPr>
          <w:rFonts w:asciiTheme="minorHAnsi" w:hAnsiTheme="minorHAnsi" w:cstheme="minorHAnsi"/>
          <w:bCs/>
          <w:sz w:val="22"/>
          <w:szCs w:val="22"/>
        </w:rPr>
        <w:t>Such statements clearly show that corporate governance in SOEs in India has to traverse a long way before minority shareholders can expect a</w:t>
      </w:r>
      <w:r w:rsidR="00212428">
        <w:rPr>
          <w:rFonts w:asciiTheme="minorHAnsi" w:hAnsiTheme="minorHAnsi" w:cstheme="minorHAnsi"/>
          <w:bCs/>
          <w:sz w:val="22"/>
          <w:szCs w:val="22"/>
        </w:rPr>
        <w:t xml:space="preserve"> fair</w:t>
      </w:r>
      <w:r>
        <w:rPr>
          <w:rFonts w:asciiTheme="minorHAnsi" w:hAnsiTheme="minorHAnsi" w:cstheme="minorHAnsi"/>
          <w:bCs/>
          <w:sz w:val="22"/>
          <w:szCs w:val="22"/>
        </w:rPr>
        <w:t xml:space="preserve"> treatment and the stated </w:t>
      </w:r>
      <w:r w:rsidR="00212428">
        <w:rPr>
          <w:rFonts w:asciiTheme="minorHAnsi" w:hAnsiTheme="minorHAnsi" w:cstheme="minorHAnsi"/>
          <w:bCs/>
          <w:sz w:val="22"/>
          <w:szCs w:val="22"/>
        </w:rPr>
        <w:t>intent promising equitable</w:t>
      </w:r>
      <w:r>
        <w:rPr>
          <w:rFonts w:asciiTheme="minorHAnsi" w:hAnsiTheme="minorHAnsi" w:cstheme="minorHAnsi"/>
          <w:bCs/>
          <w:sz w:val="22"/>
          <w:szCs w:val="22"/>
        </w:rPr>
        <w:t xml:space="preserve"> treatment of all shareholders is, more often than not, not reflected </w:t>
      </w:r>
      <w:r w:rsidR="00212428">
        <w:rPr>
          <w:rFonts w:asciiTheme="minorHAnsi" w:hAnsiTheme="minorHAnsi" w:cstheme="minorHAnsi"/>
          <w:bCs/>
          <w:sz w:val="22"/>
          <w:szCs w:val="22"/>
        </w:rPr>
        <w:t>in</w:t>
      </w:r>
      <w:r>
        <w:rPr>
          <w:rFonts w:asciiTheme="minorHAnsi" w:hAnsiTheme="minorHAnsi" w:cstheme="minorHAnsi"/>
          <w:bCs/>
          <w:sz w:val="22"/>
          <w:szCs w:val="22"/>
        </w:rPr>
        <w:t xml:space="preserve"> actions on the ground. </w:t>
      </w:r>
    </w:p>
    <w:p w:rsidR="00015647" w:rsidRDefault="00015647" w:rsidP="001E24A5">
      <w:pPr>
        <w:spacing w:after="0"/>
        <w:rPr>
          <w:rFonts w:cstheme="minorHAnsi"/>
          <w:lang w:val="en-US"/>
        </w:rPr>
      </w:pPr>
    </w:p>
    <w:p w:rsidR="00287F00" w:rsidRDefault="00287F00" w:rsidP="001E24A5">
      <w:pPr>
        <w:spacing w:after="0"/>
        <w:rPr>
          <w:rFonts w:cstheme="minorHAnsi"/>
          <w:lang w:val="en-US"/>
        </w:rPr>
      </w:pPr>
    </w:p>
    <w:p w:rsidR="00287F00" w:rsidRDefault="00287F00" w:rsidP="001E24A5">
      <w:pPr>
        <w:spacing w:after="0"/>
        <w:rPr>
          <w:rFonts w:cstheme="minorHAnsi"/>
          <w:lang w:val="en-US"/>
        </w:rPr>
      </w:pPr>
    </w:p>
    <w:p w:rsidR="00287F00" w:rsidRDefault="00287F00" w:rsidP="001E24A5">
      <w:pPr>
        <w:spacing w:after="0"/>
        <w:rPr>
          <w:rFonts w:cstheme="minorHAnsi"/>
          <w:lang w:val="en-US"/>
        </w:rPr>
      </w:pPr>
    </w:p>
    <w:p w:rsidR="00195815" w:rsidRDefault="00195815" w:rsidP="001E24A5">
      <w:pPr>
        <w:spacing w:after="0"/>
        <w:rPr>
          <w:rFonts w:cstheme="minorHAnsi"/>
          <w:lang w:val="en-US"/>
        </w:rPr>
      </w:pPr>
    </w:p>
    <w:p w:rsidR="00195815" w:rsidRDefault="00195815" w:rsidP="001E24A5">
      <w:pPr>
        <w:spacing w:after="0"/>
        <w:rPr>
          <w:rFonts w:cstheme="minorHAnsi"/>
          <w:lang w:val="en-US"/>
        </w:rPr>
      </w:pPr>
    </w:p>
    <w:p w:rsidR="00195815" w:rsidRDefault="00195815" w:rsidP="001E24A5">
      <w:pPr>
        <w:spacing w:after="0"/>
        <w:rPr>
          <w:rFonts w:cstheme="minorHAnsi"/>
          <w:lang w:val="en-US"/>
        </w:rPr>
      </w:pPr>
    </w:p>
    <w:p w:rsidR="00195815" w:rsidRDefault="00195815" w:rsidP="001E24A5">
      <w:pPr>
        <w:spacing w:after="0"/>
        <w:rPr>
          <w:rFonts w:cstheme="minorHAnsi"/>
          <w:lang w:val="en-US"/>
        </w:rPr>
      </w:pPr>
    </w:p>
    <w:p w:rsidR="00287F00" w:rsidRPr="002B7983" w:rsidRDefault="00287F00" w:rsidP="001E24A5">
      <w:pPr>
        <w:spacing w:after="0"/>
        <w:rPr>
          <w:rFonts w:cstheme="minorHAnsi"/>
          <w:lang w:val="en-US"/>
        </w:rPr>
      </w:pPr>
    </w:p>
    <w:p w:rsidR="00CB0971" w:rsidRPr="001F607E" w:rsidRDefault="00036480" w:rsidP="000453C5">
      <w:pPr>
        <w:pStyle w:val="body"/>
        <w:numPr>
          <w:ilvl w:val="0"/>
          <w:numId w:val="18"/>
        </w:numPr>
        <w:shd w:val="clear" w:color="auto" w:fill="FFFFFF"/>
        <w:spacing w:before="0" w:beforeAutospacing="0" w:after="300" w:afterAutospacing="0" w:line="270" w:lineRule="atLeast"/>
        <w:rPr>
          <w:rFonts w:asciiTheme="minorHAnsi" w:hAnsiTheme="minorHAnsi" w:cstheme="minorHAnsi"/>
          <w:b/>
          <w:sz w:val="32"/>
          <w:szCs w:val="32"/>
          <w:u w:val="single"/>
        </w:rPr>
      </w:pPr>
      <w:r w:rsidRPr="001F607E">
        <w:rPr>
          <w:rFonts w:asciiTheme="minorHAnsi" w:hAnsiTheme="minorHAnsi" w:cstheme="minorHAnsi"/>
          <w:b/>
          <w:sz w:val="32"/>
          <w:szCs w:val="32"/>
          <w:u w:val="single"/>
        </w:rPr>
        <w:lastRenderedPageBreak/>
        <w:t>Conclusion</w:t>
      </w:r>
    </w:p>
    <w:p w:rsidR="002120A7" w:rsidRDefault="002120A7" w:rsidP="00D65A28">
      <w:pPr>
        <w:rPr>
          <w:lang w:val="en-US"/>
        </w:rPr>
      </w:pPr>
      <w:r>
        <w:rPr>
          <w:lang w:val="en-US"/>
        </w:rPr>
        <w:t>The privatization of the Indian SOEs has seen the emergence of a new class of external shareholders, domestic and foreign, who have invested in the SOEs and the resultant need for the e</w:t>
      </w:r>
      <w:r w:rsidR="00212428">
        <w:rPr>
          <w:lang w:val="en-US"/>
        </w:rPr>
        <w:t>volution</w:t>
      </w:r>
      <w:r>
        <w:rPr>
          <w:lang w:val="en-US"/>
        </w:rPr>
        <w:t xml:space="preserve"> of a transparent set </w:t>
      </w:r>
      <w:r w:rsidR="0066375A">
        <w:rPr>
          <w:lang w:val="en-US"/>
        </w:rPr>
        <w:t>of corporate</w:t>
      </w:r>
      <w:r>
        <w:rPr>
          <w:lang w:val="en-US"/>
        </w:rPr>
        <w:t xml:space="preserve"> governance norms in Indian SOEs that would ensure an equitable treatment for all shareholders.</w:t>
      </w:r>
    </w:p>
    <w:p w:rsidR="0066375A" w:rsidRDefault="0066375A" w:rsidP="00D65A28">
      <w:pPr>
        <w:rPr>
          <w:lang w:val="en-US"/>
        </w:rPr>
      </w:pPr>
      <w:r>
        <w:rPr>
          <w:lang w:val="en-US"/>
        </w:rPr>
        <w:t xml:space="preserve">While the Department of Public Enterprises, which is the nodal agency over viewing SOEs in India, has </w:t>
      </w:r>
      <w:r w:rsidR="00212428">
        <w:rPr>
          <w:lang w:val="en-US"/>
        </w:rPr>
        <w:t>undertaken significant initiative in</w:t>
      </w:r>
      <w:r>
        <w:rPr>
          <w:lang w:val="en-US"/>
        </w:rPr>
        <w:t xml:space="preserve"> </w:t>
      </w:r>
      <w:r w:rsidR="00212428">
        <w:rPr>
          <w:lang w:val="en-US"/>
        </w:rPr>
        <w:t xml:space="preserve">formulating a </w:t>
      </w:r>
      <w:r>
        <w:rPr>
          <w:lang w:val="en-US"/>
        </w:rPr>
        <w:t xml:space="preserve">very set of processes and procedures that would ensure a fair and equitable treatment to all shareholders, the anecdotal evidence shows a significant gap between intent and action and points to the fact that most of the good intent remain confined to paper and </w:t>
      </w:r>
      <w:r w:rsidR="00287F00">
        <w:rPr>
          <w:lang w:val="en-US"/>
        </w:rPr>
        <w:t>is</w:t>
      </w:r>
      <w:r>
        <w:rPr>
          <w:lang w:val="en-US"/>
        </w:rPr>
        <w:t xml:space="preserve"> not reflected in the executive actions that the GoI</w:t>
      </w:r>
      <w:r w:rsidR="00212428">
        <w:rPr>
          <w:lang w:val="en-US"/>
        </w:rPr>
        <w:t>,</w:t>
      </w:r>
      <w:r>
        <w:rPr>
          <w:lang w:val="en-US"/>
        </w:rPr>
        <w:t xml:space="preserve"> as the significantly dominating shareholder</w:t>
      </w:r>
      <w:r w:rsidR="00212428">
        <w:rPr>
          <w:lang w:val="en-US"/>
        </w:rPr>
        <w:t>, takes in managing the SOEs</w:t>
      </w:r>
      <w:r>
        <w:rPr>
          <w:lang w:val="en-US"/>
        </w:rPr>
        <w:t>.</w:t>
      </w:r>
    </w:p>
    <w:p w:rsidR="00444D89" w:rsidRDefault="00D65A28" w:rsidP="00444D89">
      <w:pPr>
        <w:rPr>
          <w:lang w:val="en-US"/>
        </w:rPr>
      </w:pPr>
      <w:r>
        <w:rPr>
          <w:lang w:val="en-US"/>
        </w:rPr>
        <w:t>As SOEs gradually get privatized</w:t>
      </w:r>
      <w:r w:rsidR="00086078">
        <w:rPr>
          <w:lang w:val="en-US"/>
        </w:rPr>
        <w:t>, external i</w:t>
      </w:r>
      <w:r>
        <w:rPr>
          <w:lang w:val="en-US"/>
        </w:rPr>
        <w:t>nvestors</w:t>
      </w:r>
      <w:r w:rsidR="00086078">
        <w:rPr>
          <w:lang w:val="en-US"/>
        </w:rPr>
        <w:t xml:space="preserve"> </w:t>
      </w:r>
      <w:r w:rsidR="00212428">
        <w:rPr>
          <w:lang w:val="en-US"/>
        </w:rPr>
        <w:t xml:space="preserve">would </w:t>
      </w:r>
      <w:r w:rsidR="00086078">
        <w:rPr>
          <w:lang w:val="en-US"/>
        </w:rPr>
        <w:t xml:space="preserve">come in with the expectation to </w:t>
      </w:r>
      <w:r>
        <w:rPr>
          <w:lang w:val="en-US"/>
        </w:rPr>
        <w:t>make money by investing in them</w:t>
      </w:r>
      <w:r w:rsidR="00212428">
        <w:rPr>
          <w:lang w:val="en-US"/>
        </w:rPr>
        <w:t xml:space="preserve"> just as</w:t>
      </w:r>
      <w:r>
        <w:rPr>
          <w:lang w:val="en-US"/>
        </w:rPr>
        <w:t xml:space="preserve"> they would make by investing in other organizations</w:t>
      </w:r>
      <w:r w:rsidR="00212428">
        <w:rPr>
          <w:lang w:val="en-US"/>
        </w:rPr>
        <w:t>. However,</w:t>
      </w:r>
      <w:r w:rsidR="00086078">
        <w:rPr>
          <w:lang w:val="en-US"/>
        </w:rPr>
        <w:t xml:space="preserve"> having come in </w:t>
      </w:r>
      <w:r w:rsidR="00444D89" w:rsidRPr="00D65A28">
        <w:rPr>
          <w:lang w:val="en-US"/>
        </w:rPr>
        <w:t xml:space="preserve">and bought into the </w:t>
      </w:r>
      <w:r w:rsidR="00444D89">
        <w:rPr>
          <w:lang w:val="en-US"/>
        </w:rPr>
        <w:t xml:space="preserve">State </w:t>
      </w:r>
      <w:r w:rsidR="00444D89" w:rsidRPr="00D65A28">
        <w:rPr>
          <w:lang w:val="en-US"/>
        </w:rPr>
        <w:t xml:space="preserve">sector, </w:t>
      </w:r>
      <w:r w:rsidR="00212428">
        <w:rPr>
          <w:lang w:val="en-US"/>
        </w:rPr>
        <w:t xml:space="preserve">the external investors </w:t>
      </w:r>
      <w:r w:rsidR="009B4764">
        <w:rPr>
          <w:lang w:val="en-US"/>
        </w:rPr>
        <w:t>start declaring</w:t>
      </w:r>
      <w:r w:rsidR="00444D89">
        <w:rPr>
          <w:lang w:val="en-US"/>
        </w:rPr>
        <w:t xml:space="preserve"> </w:t>
      </w:r>
      <w:r w:rsidR="00444D89" w:rsidRPr="00D65A28">
        <w:rPr>
          <w:lang w:val="en-US"/>
        </w:rPr>
        <w:t>that once the government divests equity in a company to mobilize resources for its budget, then the company can no more act under instructions from the state. In what amounted to a threat, Oscar Veldhuijzen, a partner at TCI</w:t>
      </w:r>
      <w:r w:rsidR="00086078">
        <w:rPr>
          <w:lang w:val="en-US"/>
        </w:rPr>
        <w:t>F</w:t>
      </w:r>
      <w:r w:rsidR="00444D89">
        <w:rPr>
          <w:lang w:val="en-US"/>
        </w:rPr>
        <w:t xml:space="preserve"> (minority investor in Coal India)</w:t>
      </w:r>
      <w:r w:rsidR="00444D89" w:rsidRPr="00D65A28">
        <w:rPr>
          <w:lang w:val="en-US"/>
        </w:rPr>
        <w:t xml:space="preserve"> reportedly told the </w:t>
      </w:r>
      <w:r w:rsidR="00444D89" w:rsidRPr="00086078">
        <w:rPr>
          <w:iCs/>
          <w:lang w:val="en-US"/>
        </w:rPr>
        <w:t>Financial Times</w:t>
      </w:r>
      <w:r w:rsidR="00086078">
        <w:rPr>
          <w:rStyle w:val="FootnoteReference"/>
          <w:i/>
          <w:iCs/>
          <w:lang w:val="en-US"/>
        </w:rPr>
        <w:footnoteReference w:id="86"/>
      </w:r>
      <w:r w:rsidR="00444D89" w:rsidRPr="00D65A28">
        <w:rPr>
          <w:lang w:val="en-US"/>
        </w:rPr>
        <w:t>: “Coal India have to understand that if they mess around and treat their company like a 100 per cent government-owned entity, it will have major implications for the future of Indian capital markets.”</w:t>
      </w:r>
    </w:p>
    <w:p w:rsidR="00D65A28" w:rsidRPr="00D65A28" w:rsidRDefault="00444D89" w:rsidP="00D65A28">
      <w:pPr>
        <w:rPr>
          <w:lang w:val="en-US"/>
        </w:rPr>
      </w:pPr>
      <w:r>
        <w:rPr>
          <w:lang w:val="en-US"/>
        </w:rPr>
        <w:t>However</w:t>
      </w:r>
      <w:r w:rsidR="001E4FF2">
        <w:rPr>
          <w:lang w:val="en-US"/>
        </w:rPr>
        <w:t>,</w:t>
      </w:r>
      <w:r>
        <w:rPr>
          <w:lang w:val="en-US"/>
        </w:rPr>
        <w:t xml:space="preserve"> SOEs like </w:t>
      </w:r>
      <w:r w:rsidR="00D65A28" w:rsidRPr="00D65A28">
        <w:rPr>
          <w:lang w:val="en-US"/>
        </w:rPr>
        <w:t xml:space="preserve">Coal India </w:t>
      </w:r>
      <w:r>
        <w:rPr>
          <w:lang w:val="en-US"/>
        </w:rPr>
        <w:t>are</w:t>
      </w:r>
      <w:r w:rsidR="00D65A28" w:rsidRPr="00D65A28">
        <w:rPr>
          <w:lang w:val="en-US"/>
        </w:rPr>
        <w:t xml:space="preserve"> </w:t>
      </w:r>
      <w:r w:rsidR="00E45394">
        <w:rPr>
          <w:lang w:val="en-US"/>
        </w:rPr>
        <w:t>highly</w:t>
      </w:r>
      <w:r w:rsidR="00D65A28" w:rsidRPr="00D65A28">
        <w:rPr>
          <w:lang w:val="en-US"/>
        </w:rPr>
        <w:t xml:space="preserve"> profitable because the</w:t>
      </w:r>
      <w:r>
        <w:rPr>
          <w:lang w:val="en-US"/>
        </w:rPr>
        <w:t xml:space="preserve"> GoI has granted them various rights (</w:t>
      </w:r>
      <w:r w:rsidRPr="00D65A28">
        <w:rPr>
          <w:lang w:val="en-US"/>
        </w:rPr>
        <w:t>coal</w:t>
      </w:r>
      <w:r w:rsidR="00D65A28" w:rsidRPr="00D65A28">
        <w:rPr>
          <w:lang w:val="en-US"/>
        </w:rPr>
        <w:t xml:space="preserve"> exploration rights, mining rights, acquisition of land and surface rights, and many other rights</w:t>
      </w:r>
      <w:r>
        <w:rPr>
          <w:lang w:val="en-US"/>
        </w:rPr>
        <w:t>)</w:t>
      </w:r>
      <w:r w:rsidR="00D65A28" w:rsidRPr="00D65A28">
        <w:rPr>
          <w:lang w:val="en-US"/>
        </w:rPr>
        <w:t xml:space="preserve"> at throwaway prices</w:t>
      </w:r>
      <w:r w:rsidR="001E4FF2">
        <w:rPr>
          <w:lang w:val="en-US"/>
        </w:rPr>
        <w:t xml:space="preserve"> and, if Coal India</w:t>
      </w:r>
      <w:r>
        <w:rPr>
          <w:lang w:val="en-US"/>
        </w:rPr>
        <w:t xml:space="preserve"> were</w:t>
      </w:r>
      <w:r w:rsidR="00D65A28" w:rsidRPr="00D65A28">
        <w:rPr>
          <w:lang w:val="en-US"/>
        </w:rPr>
        <w:t xml:space="preserve"> required to pay market prices for these rights, </w:t>
      </w:r>
      <w:r>
        <w:rPr>
          <w:lang w:val="en-US"/>
        </w:rPr>
        <w:t>their</w:t>
      </w:r>
      <w:r w:rsidR="00D65A28" w:rsidRPr="00D65A28">
        <w:rPr>
          <w:lang w:val="en-US"/>
        </w:rPr>
        <w:t xml:space="preserve"> super profits </w:t>
      </w:r>
      <w:r w:rsidR="00287F00">
        <w:rPr>
          <w:lang w:val="en-US"/>
        </w:rPr>
        <w:t>c</w:t>
      </w:r>
      <w:r w:rsidR="00D65A28" w:rsidRPr="00D65A28">
        <w:rPr>
          <w:lang w:val="en-US"/>
        </w:rPr>
        <w:t>ould turn into losses in no time.</w:t>
      </w:r>
      <w:r w:rsidR="001E4FF2">
        <w:rPr>
          <w:lang w:val="en-US"/>
        </w:rPr>
        <w:t xml:space="preserve">  </w:t>
      </w:r>
      <w:r w:rsidR="000009A7">
        <w:rPr>
          <w:lang w:val="en-US"/>
        </w:rPr>
        <w:t>Therefore</w:t>
      </w:r>
      <w:r w:rsidR="00F21D96">
        <w:rPr>
          <w:lang w:val="en-US"/>
        </w:rPr>
        <w:t xml:space="preserve">, </w:t>
      </w:r>
      <w:r w:rsidR="00F21D96" w:rsidRPr="00D65A28">
        <w:rPr>
          <w:lang w:val="en-US"/>
        </w:rPr>
        <w:t>minority</w:t>
      </w:r>
      <w:r w:rsidR="00D65A28" w:rsidRPr="00D65A28">
        <w:rPr>
          <w:lang w:val="en-US"/>
        </w:rPr>
        <w:t xml:space="preserve"> shareholder</w:t>
      </w:r>
      <w:r w:rsidR="00E45394">
        <w:rPr>
          <w:lang w:val="en-US"/>
        </w:rPr>
        <w:t>s</w:t>
      </w:r>
      <w:r w:rsidR="000009A7">
        <w:rPr>
          <w:lang w:val="en-US"/>
        </w:rPr>
        <w:t xml:space="preserve"> in a SOE should not</w:t>
      </w:r>
      <w:r w:rsidR="00D65A28" w:rsidRPr="00D65A28">
        <w:rPr>
          <w:lang w:val="en-US"/>
        </w:rPr>
        <w:t xml:space="preserve"> complain about the majority</w:t>
      </w:r>
      <w:r w:rsidR="000009A7">
        <w:rPr>
          <w:lang w:val="en-US"/>
        </w:rPr>
        <w:t xml:space="preserve"> shareholder’s</w:t>
      </w:r>
      <w:r w:rsidR="00D65A28" w:rsidRPr="00D65A28">
        <w:rPr>
          <w:lang w:val="en-US"/>
        </w:rPr>
        <w:t xml:space="preserve"> interference with free market forces, without willing to sacrifice the profits sourced from that very interference</w:t>
      </w:r>
      <w:r w:rsidR="000009A7">
        <w:rPr>
          <w:lang w:val="en-US"/>
        </w:rPr>
        <w:t xml:space="preserve"> – this is an argument that</w:t>
      </w:r>
      <w:r w:rsidR="00287F00">
        <w:rPr>
          <w:lang w:val="en-US"/>
        </w:rPr>
        <w:t xml:space="preserve"> could</w:t>
      </w:r>
      <w:r w:rsidR="000009A7" w:rsidRPr="00D65A28">
        <w:rPr>
          <w:lang w:val="en-US"/>
        </w:rPr>
        <w:t xml:space="preserve"> cut both ways</w:t>
      </w:r>
      <w:r w:rsidR="000009A7">
        <w:rPr>
          <w:lang w:val="en-US"/>
        </w:rPr>
        <w:t>!</w:t>
      </w:r>
    </w:p>
    <w:p w:rsidR="001E4FF2" w:rsidRDefault="000009A7" w:rsidP="00A709A9">
      <w:pPr>
        <w:rPr>
          <w:lang w:val="en-US"/>
        </w:rPr>
      </w:pPr>
      <w:r>
        <w:rPr>
          <w:lang w:val="en-US"/>
        </w:rPr>
        <w:t xml:space="preserve">Just like a minority shareholder in an SOE has a </w:t>
      </w:r>
      <w:r w:rsidRPr="00B04EAC">
        <w:rPr>
          <w:lang w:val="en-US"/>
        </w:rPr>
        <w:t>valid</w:t>
      </w:r>
      <w:r w:rsidR="00036480" w:rsidRPr="00B04EAC">
        <w:rPr>
          <w:lang w:val="en-US"/>
        </w:rPr>
        <w:t xml:space="preserve"> </w:t>
      </w:r>
      <w:r>
        <w:rPr>
          <w:lang w:val="en-US"/>
        </w:rPr>
        <w:t xml:space="preserve">desire </w:t>
      </w:r>
      <w:r w:rsidR="00036480" w:rsidRPr="00B04EAC">
        <w:rPr>
          <w:lang w:val="en-US"/>
        </w:rPr>
        <w:t xml:space="preserve">to </w:t>
      </w:r>
      <w:r>
        <w:rPr>
          <w:lang w:val="en-US"/>
        </w:rPr>
        <w:t xml:space="preserve">fight for its interests and </w:t>
      </w:r>
      <w:r w:rsidR="00C62950" w:rsidRPr="00B04EAC">
        <w:rPr>
          <w:lang w:val="en-US"/>
        </w:rPr>
        <w:t>maximize</w:t>
      </w:r>
      <w:r w:rsidR="00036480" w:rsidRPr="00B04EAC">
        <w:rPr>
          <w:lang w:val="en-US"/>
        </w:rPr>
        <w:t xml:space="preserve"> its returns</w:t>
      </w:r>
      <w:r>
        <w:rPr>
          <w:lang w:val="en-US"/>
        </w:rPr>
        <w:t>, the</w:t>
      </w:r>
      <w:r w:rsidR="00444D89" w:rsidRPr="00444D89">
        <w:rPr>
          <w:lang w:val="en-US"/>
        </w:rPr>
        <w:t xml:space="preserve"> majority shareholder</w:t>
      </w:r>
      <w:r>
        <w:rPr>
          <w:lang w:val="en-US"/>
        </w:rPr>
        <w:t xml:space="preserve"> (</w:t>
      </w:r>
      <w:r w:rsidR="001E4FF2">
        <w:rPr>
          <w:lang w:val="en-US"/>
        </w:rPr>
        <w:t>g</w:t>
      </w:r>
      <w:r>
        <w:rPr>
          <w:lang w:val="en-US"/>
        </w:rPr>
        <w:t>overnment)</w:t>
      </w:r>
      <w:r w:rsidR="00444D89" w:rsidRPr="00444D89">
        <w:rPr>
          <w:lang w:val="en-US"/>
        </w:rPr>
        <w:t xml:space="preserve"> does not have to surrender </w:t>
      </w:r>
      <w:r>
        <w:rPr>
          <w:lang w:val="en-US"/>
        </w:rPr>
        <w:t>its</w:t>
      </w:r>
      <w:r w:rsidR="00444D89" w:rsidRPr="00444D89">
        <w:rPr>
          <w:lang w:val="en-US"/>
        </w:rPr>
        <w:t xml:space="preserve"> rights and obligations to please</w:t>
      </w:r>
      <w:r>
        <w:rPr>
          <w:lang w:val="en-US"/>
        </w:rPr>
        <w:t xml:space="preserve"> the “</w:t>
      </w:r>
      <w:r w:rsidR="00444D89" w:rsidRPr="00444D89">
        <w:rPr>
          <w:lang w:val="en-US"/>
        </w:rPr>
        <w:t xml:space="preserve">minority". </w:t>
      </w:r>
      <w:r>
        <w:rPr>
          <w:lang w:val="en-US"/>
        </w:rPr>
        <w:t>On issues where t</w:t>
      </w:r>
      <w:r w:rsidR="00444D89" w:rsidRPr="00444D89">
        <w:rPr>
          <w:lang w:val="en-US"/>
        </w:rPr>
        <w:t xml:space="preserve">here is a </w:t>
      </w:r>
      <w:r>
        <w:rPr>
          <w:lang w:val="en-US"/>
        </w:rPr>
        <w:t>“</w:t>
      </w:r>
      <w:r w:rsidR="00444D89" w:rsidRPr="00444D89">
        <w:rPr>
          <w:lang w:val="en-US"/>
        </w:rPr>
        <w:t>national</w:t>
      </w:r>
      <w:r>
        <w:rPr>
          <w:lang w:val="en-US"/>
        </w:rPr>
        <w:t>”</w:t>
      </w:r>
      <w:r w:rsidR="00444D89" w:rsidRPr="00444D89">
        <w:rPr>
          <w:lang w:val="en-US"/>
        </w:rPr>
        <w:t xml:space="preserve"> interest and a "minority" interest</w:t>
      </w:r>
      <w:r>
        <w:rPr>
          <w:lang w:val="en-US"/>
        </w:rPr>
        <w:t>, the</w:t>
      </w:r>
      <w:r w:rsidR="00444D89" w:rsidRPr="00444D89">
        <w:rPr>
          <w:lang w:val="en-US"/>
        </w:rPr>
        <w:t xml:space="preserve"> larger </w:t>
      </w:r>
      <w:r w:rsidRPr="00444D89">
        <w:rPr>
          <w:lang w:val="en-US"/>
        </w:rPr>
        <w:t>government</w:t>
      </w:r>
      <w:r>
        <w:rPr>
          <w:lang w:val="en-US"/>
        </w:rPr>
        <w:t xml:space="preserve"> </w:t>
      </w:r>
      <w:r w:rsidRPr="00444D89">
        <w:rPr>
          <w:lang w:val="en-US"/>
        </w:rPr>
        <w:t>shareholder</w:t>
      </w:r>
      <w:r w:rsidR="00444D89" w:rsidRPr="00444D89">
        <w:rPr>
          <w:lang w:val="en-US"/>
        </w:rPr>
        <w:t xml:space="preserve"> has a </w:t>
      </w:r>
      <w:r w:rsidR="00086078">
        <w:rPr>
          <w:lang w:val="en-US"/>
        </w:rPr>
        <w:t xml:space="preserve">legitimate </w:t>
      </w:r>
      <w:r w:rsidR="00444D89" w:rsidRPr="00444D89">
        <w:rPr>
          <w:lang w:val="en-US"/>
        </w:rPr>
        <w:t>right to pursue that "national" interest. </w:t>
      </w:r>
      <w:r w:rsidR="00444D89" w:rsidRPr="00444D89">
        <w:rPr>
          <w:lang w:val="en-US"/>
        </w:rPr>
        <w:br/>
      </w:r>
      <w:r w:rsidR="00444D89" w:rsidRPr="00444D89">
        <w:rPr>
          <w:lang w:val="en-US"/>
        </w:rPr>
        <w:br/>
      </w:r>
      <w:r w:rsidR="00822555">
        <w:rPr>
          <w:lang w:val="en-US"/>
        </w:rPr>
        <w:t>While t</w:t>
      </w:r>
      <w:r w:rsidR="00444D89" w:rsidRPr="00D65A28">
        <w:rPr>
          <w:lang w:val="en-US"/>
        </w:rPr>
        <w:t xml:space="preserve">he government is unlikely to be cowed down by </w:t>
      </w:r>
      <w:r w:rsidR="00822555">
        <w:rPr>
          <w:lang w:val="en-US"/>
        </w:rPr>
        <w:t xml:space="preserve">any </w:t>
      </w:r>
      <w:r w:rsidR="00444D89" w:rsidRPr="00D65A28">
        <w:rPr>
          <w:lang w:val="en-US"/>
        </w:rPr>
        <w:t>threat</w:t>
      </w:r>
      <w:r w:rsidR="00822555">
        <w:rPr>
          <w:lang w:val="en-US"/>
        </w:rPr>
        <w:t xml:space="preserve"> from the minority shareholders</w:t>
      </w:r>
      <w:r w:rsidR="00444D89" w:rsidRPr="00D65A28">
        <w:rPr>
          <w:lang w:val="en-US"/>
        </w:rPr>
        <w:t>, since it holds too large a stake and has given</w:t>
      </w:r>
      <w:r w:rsidR="00822555">
        <w:rPr>
          <w:lang w:val="en-US"/>
        </w:rPr>
        <w:t xml:space="preserve"> the</w:t>
      </w:r>
      <w:r w:rsidR="00444D89" w:rsidRPr="00D65A28">
        <w:rPr>
          <w:lang w:val="en-US"/>
        </w:rPr>
        <w:t xml:space="preserve"> </w:t>
      </w:r>
      <w:r w:rsidR="00822555">
        <w:rPr>
          <w:lang w:val="en-US"/>
        </w:rPr>
        <w:t xml:space="preserve">minority </w:t>
      </w:r>
      <w:r w:rsidR="00444D89" w:rsidRPr="00D65A28">
        <w:rPr>
          <w:lang w:val="en-US"/>
        </w:rPr>
        <w:t xml:space="preserve">investors </w:t>
      </w:r>
      <w:r w:rsidR="00822555">
        <w:rPr>
          <w:lang w:val="en-US"/>
        </w:rPr>
        <w:t xml:space="preserve">in SOEs </w:t>
      </w:r>
      <w:r w:rsidR="00444D89" w:rsidRPr="00D65A28">
        <w:rPr>
          <w:lang w:val="en-US"/>
        </w:rPr>
        <w:t>the right to exit if they are not happy with the functioning of the company</w:t>
      </w:r>
      <w:r w:rsidR="00822555">
        <w:rPr>
          <w:lang w:val="en-US"/>
        </w:rPr>
        <w:t xml:space="preserve">,  improvement in corporate governance practices in SOEs are needed to be undertaken to ensure that the current stirrings of protests from minority shareholders do not </w:t>
      </w:r>
      <w:r w:rsidR="001E4FF2">
        <w:rPr>
          <w:lang w:val="en-US"/>
        </w:rPr>
        <w:t>snowball into a agitation against government domination in SOEs and derail the government efforts to raise resources through a privatization program.</w:t>
      </w:r>
    </w:p>
    <w:p w:rsidR="006A4BDF" w:rsidRDefault="006A4BDF" w:rsidP="00A709A9">
      <w:pPr>
        <w:rPr>
          <w:lang w:val="en-US"/>
        </w:rPr>
      </w:pPr>
      <w:r>
        <w:rPr>
          <w:lang w:val="en-US"/>
        </w:rPr>
        <w:lastRenderedPageBreak/>
        <w:t>The challenge, therefore, is to find the right governance model for privatized SOEs which will be just and equitable for all shareholders.</w:t>
      </w:r>
    </w:p>
    <w:p w:rsidR="001E4FF2" w:rsidRPr="000D362A" w:rsidRDefault="00EF59C0" w:rsidP="00EF59C0">
      <w:pPr>
        <w:rPr>
          <w:lang w:val="en-US"/>
        </w:rPr>
      </w:pPr>
      <w:r>
        <w:rPr>
          <w:lang w:val="en-US"/>
        </w:rPr>
        <w:t>D</w:t>
      </w:r>
      <w:r w:rsidRPr="00EF59C0">
        <w:rPr>
          <w:lang w:val="en-US"/>
        </w:rPr>
        <w:t xml:space="preserve">rawing upon </w:t>
      </w:r>
      <w:r>
        <w:rPr>
          <w:lang w:val="en-US"/>
        </w:rPr>
        <w:t>his</w:t>
      </w:r>
      <w:r w:rsidRPr="00EF59C0">
        <w:rPr>
          <w:lang w:val="en-US"/>
        </w:rPr>
        <w:t xml:space="preserve"> research and work with SOEs in a number</w:t>
      </w:r>
      <w:r>
        <w:rPr>
          <w:lang w:val="en-US"/>
        </w:rPr>
        <w:t xml:space="preserve"> </w:t>
      </w:r>
      <w:r w:rsidRPr="00EF59C0">
        <w:rPr>
          <w:lang w:val="en-US"/>
        </w:rPr>
        <w:t xml:space="preserve">of jurisdictions, </w:t>
      </w:r>
      <w:r>
        <w:rPr>
          <w:lang w:val="en-US"/>
        </w:rPr>
        <w:t>Wong</w:t>
      </w:r>
      <w:r>
        <w:rPr>
          <w:rStyle w:val="FootnoteReference"/>
          <w:lang w:val="en-US"/>
        </w:rPr>
        <w:footnoteReference w:id="87"/>
      </w:r>
      <w:r>
        <w:rPr>
          <w:lang w:val="en-US"/>
        </w:rPr>
        <w:t xml:space="preserve">  has recommended following an </w:t>
      </w:r>
      <w:r w:rsidRPr="00EF59C0">
        <w:rPr>
          <w:lang w:val="en-US"/>
        </w:rPr>
        <w:t>integrated approach</w:t>
      </w:r>
      <w:r>
        <w:rPr>
          <w:lang w:val="en-US"/>
        </w:rPr>
        <w:t xml:space="preserve"> to im</w:t>
      </w:r>
      <w:r w:rsidRPr="00EF59C0">
        <w:rPr>
          <w:lang w:val="en-US"/>
        </w:rPr>
        <w:t>prove the corporate governance</w:t>
      </w:r>
      <w:r>
        <w:rPr>
          <w:lang w:val="en-US"/>
        </w:rPr>
        <w:t xml:space="preserve"> </w:t>
      </w:r>
      <w:r w:rsidRPr="00EF59C0">
        <w:rPr>
          <w:lang w:val="en-US"/>
        </w:rPr>
        <w:t>of SOEs</w:t>
      </w:r>
      <w:r>
        <w:rPr>
          <w:lang w:val="en-US"/>
        </w:rPr>
        <w:t xml:space="preserve"> based on three</w:t>
      </w:r>
      <w:r w:rsidR="001E4FF2" w:rsidRPr="000D362A">
        <w:rPr>
          <w:lang w:val="en-US"/>
        </w:rPr>
        <w:t xml:space="preserve"> </w:t>
      </w:r>
      <w:r>
        <w:rPr>
          <w:lang w:val="en-US"/>
        </w:rPr>
        <w:t xml:space="preserve">critical foundations </w:t>
      </w:r>
      <w:r w:rsidRPr="000D362A">
        <w:rPr>
          <w:lang w:val="en-US"/>
        </w:rPr>
        <w:t>–</w:t>
      </w:r>
      <w:r w:rsidR="001E4FF2" w:rsidRPr="000D362A">
        <w:rPr>
          <w:lang w:val="en-US"/>
        </w:rPr>
        <w:t xml:space="preserve"> clear objectives, political insulation, and </w:t>
      </w:r>
      <w:r w:rsidR="001E4FF2">
        <w:rPr>
          <w:lang w:val="en-US"/>
        </w:rPr>
        <w:t xml:space="preserve">  </w:t>
      </w:r>
      <w:r>
        <w:rPr>
          <w:lang w:val="en-US"/>
        </w:rPr>
        <w:t>tr</w:t>
      </w:r>
      <w:r w:rsidR="001E4FF2" w:rsidRPr="000D362A">
        <w:rPr>
          <w:lang w:val="en-US"/>
        </w:rPr>
        <w:t>ansparency</w:t>
      </w:r>
      <w:r>
        <w:rPr>
          <w:lang w:val="en-US"/>
        </w:rPr>
        <w:t>.</w:t>
      </w:r>
      <w:r w:rsidR="001E4FF2" w:rsidRPr="000D362A">
        <w:rPr>
          <w:lang w:val="en-US"/>
        </w:rPr>
        <w:t xml:space="preserve"> The</w:t>
      </w:r>
      <w:r w:rsidR="00173D1D">
        <w:rPr>
          <w:lang w:val="en-US"/>
        </w:rPr>
        <w:t>se principles</w:t>
      </w:r>
      <w:r w:rsidR="001E4FF2" w:rsidRPr="000D362A">
        <w:rPr>
          <w:lang w:val="en-US"/>
        </w:rPr>
        <w:t xml:space="preserve"> reinforce each other and are</w:t>
      </w:r>
      <w:r w:rsidR="001E4FF2">
        <w:rPr>
          <w:lang w:val="en-US"/>
        </w:rPr>
        <w:t xml:space="preserve"> </w:t>
      </w:r>
      <w:r w:rsidR="001E4FF2" w:rsidRPr="000D362A">
        <w:rPr>
          <w:lang w:val="en-US"/>
        </w:rPr>
        <w:t>part of an integrated package.</w:t>
      </w:r>
      <w:r w:rsidR="00173D1D">
        <w:rPr>
          <w:lang w:val="en-US"/>
        </w:rPr>
        <w:t xml:space="preserve"> However, w</w:t>
      </w:r>
      <w:r w:rsidR="001E4FF2" w:rsidRPr="000D362A">
        <w:rPr>
          <w:lang w:val="en-US"/>
        </w:rPr>
        <w:t xml:space="preserve">hen governments </w:t>
      </w:r>
      <w:r w:rsidR="00173D1D" w:rsidRPr="000D362A">
        <w:rPr>
          <w:lang w:val="en-US"/>
        </w:rPr>
        <w:t>adopt these</w:t>
      </w:r>
      <w:r w:rsidR="001E4FF2" w:rsidRPr="000D362A">
        <w:rPr>
          <w:lang w:val="en-US"/>
        </w:rPr>
        <w:t xml:space="preserve"> reforms</w:t>
      </w:r>
      <w:r w:rsidR="00173D1D">
        <w:rPr>
          <w:lang w:val="en-US"/>
        </w:rPr>
        <w:t xml:space="preserve"> partially, such</w:t>
      </w:r>
      <w:r w:rsidR="001E4FF2" w:rsidRPr="000D362A">
        <w:rPr>
          <w:lang w:val="en-US"/>
        </w:rPr>
        <w:t xml:space="preserve"> as establishing a clear mandate without sufficient transparency, the</w:t>
      </w:r>
      <w:r w:rsidR="001E4FF2">
        <w:rPr>
          <w:lang w:val="en-US"/>
        </w:rPr>
        <w:t xml:space="preserve"> </w:t>
      </w:r>
      <w:r w:rsidR="001E4FF2" w:rsidRPr="000D362A">
        <w:rPr>
          <w:lang w:val="en-US"/>
        </w:rPr>
        <w:t>results are usually disappointing. Although these reforms may require tremendous</w:t>
      </w:r>
      <w:r w:rsidR="001E4FF2">
        <w:rPr>
          <w:lang w:val="en-US"/>
        </w:rPr>
        <w:t xml:space="preserve"> </w:t>
      </w:r>
      <w:r w:rsidR="001E4FF2" w:rsidRPr="000D362A">
        <w:rPr>
          <w:lang w:val="en-US"/>
        </w:rPr>
        <w:t>political commitment to implement</w:t>
      </w:r>
      <w:r>
        <w:rPr>
          <w:lang w:val="en-US"/>
        </w:rPr>
        <w:t xml:space="preserve"> and</w:t>
      </w:r>
      <w:r w:rsidR="001E4FF2" w:rsidRPr="000D362A">
        <w:rPr>
          <w:lang w:val="en-US"/>
        </w:rPr>
        <w:t xml:space="preserve"> a system of professional oversight that</w:t>
      </w:r>
      <w:r w:rsidR="001E4FF2">
        <w:rPr>
          <w:lang w:val="en-US"/>
        </w:rPr>
        <w:t xml:space="preserve"> </w:t>
      </w:r>
      <w:r w:rsidR="001E4FF2" w:rsidRPr="000D362A">
        <w:rPr>
          <w:lang w:val="en-US"/>
        </w:rPr>
        <w:t>includes checks and balances</w:t>
      </w:r>
      <w:r>
        <w:rPr>
          <w:lang w:val="en-US"/>
        </w:rPr>
        <w:t xml:space="preserve">, </w:t>
      </w:r>
      <w:r w:rsidR="00173D1D">
        <w:rPr>
          <w:lang w:val="en-US"/>
        </w:rPr>
        <w:t xml:space="preserve">they constitute the </w:t>
      </w:r>
      <w:r w:rsidR="001E4FF2" w:rsidRPr="000D362A">
        <w:rPr>
          <w:lang w:val="en-US"/>
        </w:rPr>
        <w:t>best recipe for countries</w:t>
      </w:r>
      <w:r w:rsidR="00173D1D">
        <w:rPr>
          <w:lang w:val="en-US"/>
        </w:rPr>
        <w:t xml:space="preserve"> and should form the basis on which SOEs need to be managed</w:t>
      </w:r>
      <w:r w:rsidR="003765E1">
        <w:rPr>
          <w:lang w:val="en-US"/>
        </w:rPr>
        <w:t xml:space="preserve"> for best results</w:t>
      </w:r>
      <w:r w:rsidR="00173D1D">
        <w:rPr>
          <w:lang w:val="en-US"/>
        </w:rPr>
        <w:t>.</w:t>
      </w:r>
    </w:p>
    <w:p w:rsidR="00444D89" w:rsidRDefault="00A709A9" w:rsidP="00A709A9">
      <w:pPr>
        <w:rPr>
          <w:lang w:val="en-US"/>
        </w:rPr>
      </w:pPr>
      <w:r w:rsidRPr="00A709A9">
        <w:rPr>
          <w:lang w:val="en-US"/>
        </w:rPr>
        <w:t>First of all, governments must set clear objectives for SOEs. If improved financial</w:t>
      </w:r>
      <w:r>
        <w:rPr>
          <w:lang w:val="en-US"/>
        </w:rPr>
        <w:t xml:space="preserve"> </w:t>
      </w:r>
      <w:r w:rsidRPr="00A709A9">
        <w:rPr>
          <w:lang w:val="en-US"/>
        </w:rPr>
        <w:t xml:space="preserve">performance is the goal, then state overseers must set specific targets. </w:t>
      </w:r>
      <w:r w:rsidR="003765E1">
        <w:rPr>
          <w:lang w:val="en-US"/>
        </w:rPr>
        <w:t xml:space="preserve">Given that an SOE may have multiple objectives, </w:t>
      </w:r>
      <w:r w:rsidR="003765E1" w:rsidRPr="00A709A9">
        <w:rPr>
          <w:lang w:val="en-US"/>
        </w:rPr>
        <w:t>the</w:t>
      </w:r>
      <w:r>
        <w:rPr>
          <w:lang w:val="en-US"/>
        </w:rPr>
        <w:t xml:space="preserve"> </w:t>
      </w:r>
      <w:r w:rsidRPr="00A709A9">
        <w:rPr>
          <w:lang w:val="en-US"/>
        </w:rPr>
        <w:t>performance measure doesn’t necessarily have to match what might be achievable</w:t>
      </w:r>
      <w:r>
        <w:rPr>
          <w:lang w:val="en-US"/>
        </w:rPr>
        <w:t xml:space="preserve"> </w:t>
      </w:r>
      <w:r w:rsidRPr="00A709A9">
        <w:rPr>
          <w:lang w:val="en-US"/>
        </w:rPr>
        <w:t>in the private sector</w:t>
      </w:r>
      <w:r w:rsidR="003765E1">
        <w:rPr>
          <w:lang w:val="en-US"/>
        </w:rPr>
        <w:t>,</w:t>
      </w:r>
      <w:r w:rsidRPr="00A709A9">
        <w:rPr>
          <w:lang w:val="en-US"/>
        </w:rPr>
        <w:t xml:space="preserve"> where profit </w:t>
      </w:r>
      <w:r w:rsidR="00EF59C0" w:rsidRPr="00A709A9">
        <w:rPr>
          <w:lang w:val="en-US"/>
        </w:rPr>
        <w:t>maximization</w:t>
      </w:r>
      <w:r w:rsidRPr="00A709A9">
        <w:rPr>
          <w:lang w:val="en-US"/>
        </w:rPr>
        <w:t xml:space="preserve"> </w:t>
      </w:r>
      <w:r w:rsidR="003765E1">
        <w:rPr>
          <w:lang w:val="en-US"/>
        </w:rPr>
        <w:t xml:space="preserve">usually </w:t>
      </w:r>
      <w:r w:rsidRPr="00A709A9">
        <w:rPr>
          <w:lang w:val="en-US"/>
        </w:rPr>
        <w:t>tends to be the only objective.</w:t>
      </w:r>
      <w:r>
        <w:rPr>
          <w:lang w:val="en-US"/>
        </w:rPr>
        <w:t xml:space="preserve"> </w:t>
      </w:r>
      <w:r w:rsidRPr="00A709A9">
        <w:rPr>
          <w:lang w:val="en-US"/>
        </w:rPr>
        <w:t>Nonetheless, performance targets must ensure that an SOE will</w:t>
      </w:r>
      <w:r w:rsidR="003765E1">
        <w:rPr>
          <w:lang w:val="en-US"/>
        </w:rPr>
        <w:t>,</w:t>
      </w:r>
      <w:r w:rsidRPr="00A709A9">
        <w:rPr>
          <w:lang w:val="en-US"/>
        </w:rPr>
        <w:t xml:space="preserve"> when the costs</w:t>
      </w:r>
      <w:r>
        <w:rPr>
          <w:lang w:val="en-US"/>
        </w:rPr>
        <w:t xml:space="preserve"> </w:t>
      </w:r>
      <w:r w:rsidRPr="00A709A9">
        <w:rPr>
          <w:lang w:val="en-US"/>
        </w:rPr>
        <w:t xml:space="preserve">of any non-commercial objectives are </w:t>
      </w:r>
      <w:r w:rsidR="003765E1">
        <w:rPr>
          <w:lang w:val="en-US"/>
        </w:rPr>
        <w:t>excluded,</w:t>
      </w:r>
      <w:r w:rsidR="003765E1" w:rsidRPr="00A709A9">
        <w:rPr>
          <w:lang w:val="en-US"/>
        </w:rPr>
        <w:t xml:space="preserve"> recover</w:t>
      </w:r>
      <w:r w:rsidRPr="00A709A9">
        <w:rPr>
          <w:lang w:val="en-US"/>
        </w:rPr>
        <w:t xml:space="preserve"> its cost of capital.</w:t>
      </w:r>
      <w:r>
        <w:rPr>
          <w:lang w:val="en-US"/>
        </w:rPr>
        <w:t xml:space="preserve"> </w:t>
      </w:r>
      <w:r w:rsidRPr="00A709A9">
        <w:rPr>
          <w:lang w:val="en-US"/>
        </w:rPr>
        <w:t>Only when the government is confident that an SOE is viable from a financial</w:t>
      </w:r>
      <w:r>
        <w:rPr>
          <w:lang w:val="en-US"/>
        </w:rPr>
        <w:t xml:space="preserve"> </w:t>
      </w:r>
      <w:r w:rsidRPr="00A709A9">
        <w:rPr>
          <w:lang w:val="en-US"/>
        </w:rPr>
        <w:t>perspective should it ask the company to pursue non-commercial objectives, such</w:t>
      </w:r>
      <w:r>
        <w:rPr>
          <w:lang w:val="en-US"/>
        </w:rPr>
        <w:t xml:space="preserve"> </w:t>
      </w:r>
      <w:r w:rsidRPr="00A709A9">
        <w:rPr>
          <w:lang w:val="en-US"/>
        </w:rPr>
        <w:t>as employment stability, cultural preservation, and so forth. Any other approach</w:t>
      </w:r>
      <w:r>
        <w:rPr>
          <w:lang w:val="en-US"/>
        </w:rPr>
        <w:t xml:space="preserve"> </w:t>
      </w:r>
      <w:r w:rsidRPr="00A709A9">
        <w:rPr>
          <w:lang w:val="en-US"/>
        </w:rPr>
        <w:t xml:space="preserve">risks the </w:t>
      </w:r>
      <w:r w:rsidR="003765E1">
        <w:rPr>
          <w:lang w:val="en-US"/>
        </w:rPr>
        <w:t>SOE’s</w:t>
      </w:r>
      <w:r w:rsidRPr="00A709A9">
        <w:rPr>
          <w:lang w:val="en-US"/>
        </w:rPr>
        <w:t xml:space="preserve"> long-term </w:t>
      </w:r>
      <w:r w:rsidR="00EF59C0" w:rsidRPr="00A709A9">
        <w:rPr>
          <w:lang w:val="en-US"/>
        </w:rPr>
        <w:t>viability.</w:t>
      </w:r>
      <w:r w:rsidR="00EF59C0" w:rsidRPr="00D65A28">
        <w:rPr>
          <w:lang w:val="en-US"/>
        </w:rPr>
        <w:t xml:space="preserve"> </w:t>
      </w:r>
    </w:p>
    <w:p w:rsidR="00A709A9" w:rsidRPr="00A709A9" w:rsidRDefault="00A709A9" w:rsidP="003E48AA">
      <w:pPr>
        <w:autoSpaceDE w:val="0"/>
        <w:autoSpaceDN w:val="0"/>
        <w:adjustRightInd w:val="0"/>
        <w:spacing w:after="0"/>
        <w:rPr>
          <w:rFonts w:cstheme="minorHAnsi"/>
          <w:lang w:val="en-US"/>
        </w:rPr>
      </w:pPr>
      <w:r w:rsidRPr="00A709A9">
        <w:rPr>
          <w:rFonts w:eastAsiaTheme="minorHAnsi" w:cstheme="minorHAnsi"/>
          <w:lang w:val="en-US" w:eastAsia="en-US"/>
        </w:rPr>
        <w:t>Transparency is a cornerstone of any governance reform</w:t>
      </w:r>
      <w:r w:rsidR="003765E1">
        <w:rPr>
          <w:rFonts w:eastAsiaTheme="minorHAnsi" w:cstheme="minorHAnsi"/>
          <w:lang w:val="en-US" w:eastAsia="en-US"/>
        </w:rPr>
        <w:t xml:space="preserve"> in SOEs</w:t>
      </w:r>
      <w:r w:rsidRPr="00A709A9">
        <w:rPr>
          <w:rFonts w:eastAsiaTheme="minorHAnsi" w:cstheme="minorHAnsi"/>
          <w:lang w:val="en-US" w:eastAsia="en-US"/>
        </w:rPr>
        <w:t>. Open access to information provides a basis for government accountability and raises the barriers against capricious, self-serving intervention. Without accurate and detailed information it is difficult to assess company and board performance, set targets and allocate capital efficiently. Information should be provided not only on performance but the objectives of each enterprise (especially non-commercial, social goals), the costs of pursuing non-commercial objectives and any subsidies granted by the government. Increased scrutiny by the public, press and non-governmental organizations raises accountability, both for SOE management and government overseers</w:t>
      </w:r>
    </w:p>
    <w:p w:rsidR="003E48AA" w:rsidRDefault="003E48AA" w:rsidP="003E48AA">
      <w:pPr>
        <w:spacing w:after="0"/>
        <w:rPr>
          <w:lang w:val="en-US"/>
        </w:rPr>
      </w:pPr>
    </w:p>
    <w:p w:rsidR="000D362A" w:rsidRDefault="000D362A" w:rsidP="000D362A">
      <w:pPr>
        <w:rPr>
          <w:lang w:val="en-US"/>
        </w:rPr>
      </w:pPr>
      <w:r w:rsidRPr="000D362A">
        <w:rPr>
          <w:lang w:val="en-US"/>
        </w:rPr>
        <w:t>Lastly, insulation from political interference can be</w:t>
      </w:r>
      <w:r w:rsidR="003765E1">
        <w:rPr>
          <w:lang w:val="en-US"/>
        </w:rPr>
        <w:t xml:space="preserve"> strengthened</w:t>
      </w:r>
      <w:r w:rsidRPr="000D362A">
        <w:rPr>
          <w:lang w:val="en-US"/>
        </w:rPr>
        <w:t xml:space="preserve"> by vesting real</w:t>
      </w:r>
      <w:r>
        <w:rPr>
          <w:lang w:val="en-US"/>
        </w:rPr>
        <w:t xml:space="preserve"> </w:t>
      </w:r>
      <w:r w:rsidRPr="000D362A">
        <w:rPr>
          <w:lang w:val="en-US"/>
        </w:rPr>
        <w:t>authority in the board of the SOE. While the government, as the shareholder of</w:t>
      </w:r>
      <w:r>
        <w:rPr>
          <w:lang w:val="en-US"/>
        </w:rPr>
        <w:t xml:space="preserve"> </w:t>
      </w:r>
      <w:r w:rsidRPr="000D362A">
        <w:rPr>
          <w:lang w:val="en-US"/>
        </w:rPr>
        <w:t>SOEs, has a legitimate right to influence the</w:t>
      </w:r>
      <w:r>
        <w:rPr>
          <w:lang w:val="en-US"/>
        </w:rPr>
        <w:t xml:space="preserve"> </w:t>
      </w:r>
      <w:r w:rsidRPr="000D362A">
        <w:rPr>
          <w:lang w:val="en-US"/>
        </w:rPr>
        <w:t>SOEs within its portfolio, its sphere of influence</w:t>
      </w:r>
      <w:r>
        <w:rPr>
          <w:lang w:val="en-US"/>
        </w:rPr>
        <w:t xml:space="preserve"> </w:t>
      </w:r>
      <w:r w:rsidRPr="000D362A">
        <w:rPr>
          <w:lang w:val="en-US"/>
        </w:rPr>
        <w:t>should be limited. Appropriate roles for</w:t>
      </w:r>
      <w:r>
        <w:rPr>
          <w:lang w:val="en-US"/>
        </w:rPr>
        <w:t xml:space="preserve"> </w:t>
      </w:r>
      <w:r w:rsidRPr="000D362A">
        <w:rPr>
          <w:lang w:val="en-US"/>
        </w:rPr>
        <w:t>the government includes setting objectives and</w:t>
      </w:r>
      <w:r>
        <w:rPr>
          <w:lang w:val="en-US"/>
        </w:rPr>
        <w:t xml:space="preserve"> </w:t>
      </w:r>
      <w:r w:rsidRPr="000D362A">
        <w:rPr>
          <w:lang w:val="en-US"/>
        </w:rPr>
        <w:t>performance targets (for example, ROE, dividends),</w:t>
      </w:r>
      <w:r>
        <w:rPr>
          <w:lang w:val="en-US"/>
        </w:rPr>
        <w:t xml:space="preserve"> </w:t>
      </w:r>
      <w:r w:rsidRPr="000D362A">
        <w:rPr>
          <w:lang w:val="en-US"/>
        </w:rPr>
        <w:t>appointing directors, monitoring the</w:t>
      </w:r>
      <w:r>
        <w:rPr>
          <w:lang w:val="en-US"/>
        </w:rPr>
        <w:t xml:space="preserve"> </w:t>
      </w:r>
      <w:r w:rsidRPr="000D362A">
        <w:rPr>
          <w:lang w:val="en-US"/>
        </w:rPr>
        <w:t>performance of the enterprise and its board, and</w:t>
      </w:r>
      <w:r>
        <w:rPr>
          <w:lang w:val="en-US"/>
        </w:rPr>
        <w:t xml:space="preserve"> </w:t>
      </w:r>
      <w:r w:rsidRPr="000D362A">
        <w:rPr>
          <w:lang w:val="en-US"/>
        </w:rPr>
        <w:t>stepping in when things go wrong, such as a major scandal. Aside from these</w:t>
      </w:r>
      <w:r>
        <w:rPr>
          <w:lang w:val="en-US"/>
        </w:rPr>
        <w:t xml:space="preserve"> </w:t>
      </w:r>
      <w:r w:rsidRPr="000D362A">
        <w:rPr>
          <w:lang w:val="en-US"/>
        </w:rPr>
        <w:t>intervention rights – which should be clearly articulated and publicly disclosed –</w:t>
      </w:r>
      <w:r>
        <w:rPr>
          <w:lang w:val="en-US"/>
        </w:rPr>
        <w:t xml:space="preserve"> </w:t>
      </w:r>
      <w:r w:rsidRPr="000D362A">
        <w:rPr>
          <w:lang w:val="en-US"/>
        </w:rPr>
        <w:t>the remaining authority should reside in a professional board and management.</w:t>
      </w:r>
    </w:p>
    <w:p w:rsidR="00A709A9" w:rsidRDefault="00EF59C0" w:rsidP="00A709A9">
      <w:pPr>
        <w:rPr>
          <w:lang w:val="en-US"/>
        </w:rPr>
      </w:pPr>
      <w:r>
        <w:rPr>
          <w:lang w:val="en-US"/>
        </w:rPr>
        <w:t>Additionally</w:t>
      </w:r>
      <w:r w:rsidR="00A709A9" w:rsidRPr="00A709A9">
        <w:rPr>
          <w:lang w:val="en-US"/>
        </w:rPr>
        <w:t>, any effort to reform the governance of state companies needs public</w:t>
      </w:r>
      <w:r w:rsidR="00A709A9">
        <w:rPr>
          <w:lang w:val="en-US"/>
        </w:rPr>
        <w:t xml:space="preserve"> </w:t>
      </w:r>
      <w:r w:rsidR="00A709A9" w:rsidRPr="00A709A9">
        <w:rPr>
          <w:lang w:val="en-US"/>
        </w:rPr>
        <w:t>support</w:t>
      </w:r>
      <w:r w:rsidR="003765E1" w:rsidRPr="003765E1">
        <w:rPr>
          <w:lang w:val="en-US"/>
        </w:rPr>
        <w:t xml:space="preserve"> </w:t>
      </w:r>
      <w:r w:rsidR="003765E1">
        <w:rPr>
          <w:lang w:val="en-US"/>
        </w:rPr>
        <w:t xml:space="preserve">which is best achieved by </w:t>
      </w:r>
      <w:r w:rsidR="003765E1" w:rsidRPr="00A709A9">
        <w:rPr>
          <w:lang w:val="en-US"/>
        </w:rPr>
        <w:t>open and constructive debate</w:t>
      </w:r>
      <w:r w:rsidR="003765E1">
        <w:rPr>
          <w:lang w:val="en-US"/>
        </w:rPr>
        <w:t>; o</w:t>
      </w:r>
      <w:r w:rsidR="00A709A9" w:rsidRPr="00A709A9">
        <w:rPr>
          <w:lang w:val="en-US"/>
        </w:rPr>
        <w:t xml:space="preserve">therwise, </w:t>
      </w:r>
      <w:r w:rsidRPr="00A709A9">
        <w:rPr>
          <w:lang w:val="en-US"/>
        </w:rPr>
        <w:t>labor</w:t>
      </w:r>
      <w:r w:rsidR="00A709A9" w:rsidRPr="00A709A9">
        <w:rPr>
          <w:lang w:val="en-US"/>
        </w:rPr>
        <w:t xml:space="preserve"> unions and other interest groups can derail the process.</w:t>
      </w:r>
      <w:r w:rsidR="00A709A9">
        <w:rPr>
          <w:lang w:val="en-US"/>
        </w:rPr>
        <w:t xml:space="preserve"> </w:t>
      </w:r>
    </w:p>
    <w:p w:rsidR="003E48AA" w:rsidRDefault="007A25D6" w:rsidP="00444D89">
      <w:pPr>
        <w:rPr>
          <w:lang w:val="en-US"/>
        </w:rPr>
      </w:pPr>
      <w:r>
        <w:rPr>
          <w:lang w:val="en-US"/>
        </w:rPr>
        <w:lastRenderedPageBreak/>
        <w:t xml:space="preserve">Once the right governance framework based on – clarity of objectives, transparency and insulation from political interference – has been implemented the SOE is well positioned to follow a system that would respect the rights of the minority shareholders and ensure, thereby, that that their interests are not expropriated. </w:t>
      </w:r>
    </w:p>
    <w:p w:rsidR="00822555" w:rsidRDefault="003E48AA" w:rsidP="00444D89">
      <w:pPr>
        <w:rPr>
          <w:lang w:val="en-US"/>
        </w:rPr>
      </w:pPr>
      <w:r>
        <w:rPr>
          <w:lang w:val="en-US"/>
        </w:rPr>
        <w:t>With a supporting environment in place, s</w:t>
      </w:r>
      <w:r w:rsidR="00822555">
        <w:rPr>
          <w:lang w:val="en-US"/>
        </w:rPr>
        <w:t xml:space="preserve">ome </w:t>
      </w:r>
      <w:r w:rsidR="007A25D6">
        <w:rPr>
          <w:lang w:val="en-US"/>
        </w:rPr>
        <w:t>specific areas</w:t>
      </w:r>
      <w:r w:rsidR="00822555">
        <w:rPr>
          <w:lang w:val="en-US"/>
        </w:rPr>
        <w:t xml:space="preserve"> for improvement</w:t>
      </w:r>
      <w:r>
        <w:rPr>
          <w:lang w:val="en-US"/>
        </w:rPr>
        <w:t xml:space="preserve"> for</w:t>
      </w:r>
      <w:r w:rsidR="00822555">
        <w:rPr>
          <w:lang w:val="en-US"/>
        </w:rPr>
        <w:t xml:space="preserve"> protecting the rights of the minority </w:t>
      </w:r>
      <w:r w:rsidR="007A25D6">
        <w:rPr>
          <w:lang w:val="en-US"/>
        </w:rPr>
        <w:t>shareholders are</w:t>
      </w:r>
      <w:r w:rsidR="00822555">
        <w:rPr>
          <w:lang w:val="en-US"/>
        </w:rPr>
        <w:t xml:space="preserve"> as follows: </w:t>
      </w:r>
    </w:p>
    <w:p w:rsidR="009B3DFB" w:rsidRDefault="009B3DFB" w:rsidP="00822555">
      <w:pPr>
        <w:pStyle w:val="ListParagraph"/>
        <w:numPr>
          <w:ilvl w:val="0"/>
          <w:numId w:val="8"/>
        </w:numPr>
        <w:spacing w:after="0"/>
        <w:rPr>
          <w:bCs/>
          <w:color w:val="000000" w:themeColor="text1"/>
        </w:rPr>
      </w:pPr>
      <w:r>
        <w:rPr>
          <w:bCs/>
          <w:color w:val="000000" w:themeColor="text1"/>
        </w:rPr>
        <w:t xml:space="preserve">The process for appointment of Independent Directors in SOEs needs </w:t>
      </w:r>
      <w:r w:rsidR="007A25D6">
        <w:rPr>
          <w:bCs/>
          <w:color w:val="000000" w:themeColor="text1"/>
        </w:rPr>
        <w:t>to be strengthened so as to</w:t>
      </w:r>
      <w:r>
        <w:rPr>
          <w:bCs/>
          <w:color w:val="000000" w:themeColor="text1"/>
        </w:rPr>
        <w:t xml:space="preserve"> ensure that the point of view of minority shareholders is adequately represented on the Boards of SOEs</w:t>
      </w:r>
      <w:r w:rsidR="007A25D6">
        <w:rPr>
          <w:bCs/>
          <w:color w:val="000000" w:themeColor="text1"/>
        </w:rPr>
        <w:t>.</w:t>
      </w:r>
    </w:p>
    <w:p w:rsidR="009B3DFB" w:rsidRDefault="009B3DFB" w:rsidP="009B3DFB">
      <w:pPr>
        <w:spacing w:after="0"/>
        <w:rPr>
          <w:bCs/>
          <w:color w:val="000000" w:themeColor="text1"/>
        </w:rPr>
      </w:pPr>
    </w:p>
    <w:p w:rsidR="009B3DFB" w:rsidRPr="009B3DFB" w:rsidRDefault="009B3DFB" w:rsidP="009B3DFB">
      <w:pPr>
        <w:pStyle w:val="ListParagraph"/>
        <w:numPr>
          <w:ilvl w:val="0"/>
          <w:numId w:val="8"/>
        </w:numPr>
        <w:spacing w:after="0"/>
        <w:rPr>
          <w:bCs/>
          <w:color w:val="000000" w:themeColor="text1"/>
        </w:rPr>
      </w:pPr>
      <w:r w:rsidRPr="009B3DFB">
        <w:rPr>
          <w:bCs/>
          <w:color w:val="000000" w:themeColor="text1"/>
        </w:rPr>
        <w:t>Greater transparency in key decisions and wider consultation with shareholders /even stakeholders would help in evolving consensus on key decisions</w:t>
      </w:r>
      <w:r w:rsidR="007A25D6">
        <w:rPr>
          <w:bCs/>
          <w:color w:val="000000" w:themeColor="text1"/>
        </w:rPr>
        <w:t xml:space="preserve"> as the </w:t>
      </w:r>
      <w:r>
        <w:rPr>
          <w:bCs/>
          <w:color w:val="000000" w:themeColor="text1"/>
        </w:rPr>
        <w:t>f</w:t>
      </w:r>
      <w:r w:rsidRPr="009B3DFB">
        <w:rPr>
          <w:bCs/>
          <w:color w:val="000000" w:themeColor="text1"/>
        </w:rPr>
        <w:t xml:space="preserve">ocus of an enterprise </w:t>
      </w:r>
      <w:r w:rsidR="007A25D6">
        <w:rPr>
          <w:bCs/>
          <w:color w:val="000000" w:themeColor="text1"/>
        </w:rPr>
        <w:t>should be o</w:t>
      </w:r>
      <w:r w:rsidRPr="009B3DFB">
        <w:rPr>
          <w:bCs/>
          <w:color w:val="000000" w:themeColor="text1"/>
        </w:rPr>
        <w:t>n creating more value for all stakeholders</w:t>
      </w:r>
      <w:r w:rsidR="007A25D6">
        <w:rPr>
          <w:bCs/>
          <w:color w:val="000000" w:themeColor="text1"/>
        </w:rPr>
        <w:t xml:space="preserve"> and necessary processes need to be instituted for the same.</w:t>
      </w:r>
      <w:r w:rsidR="00E6689B">
        <w:rPr>
          <w:bCs/>
          <w:color w:val="000000" w:themeColor="text1"/>
        </w:rPr>
        <w:t xml:space="preserve"> </w:t>
      </w:r>
    </w:p>
    <w:p w:rsidR="00822555" w:rsidRPr="009B3DFB" w:rsidRDefault="00822555" w:rsidP="009B3DFB">
      <w:pPr>
        <w:spacing w:after="0"/>
        <w:rPr>
          <w:bCs/>
          <w:color w:val="000000" w:themeColor="text1"/>
        </w:rPr>
      </w:pPr>
    </w:p>
    <w:p w:rsidR="00E6689B" w:rsidRDefault="009B3DFB" w:rsidP="009B3DFB">
      <w:pPr>
        <w:pStyle w:val="ListParagraph"/>
        <w:numPr>
          <w:ilvl w:val="0"/>
          <w:numId w:val="8"/>
        </w:numPr>
        <w:spacing w:after="0"/>
        <w:rPr>
          <w:bCs/>
          <w:color w:val="000000" w:themeColor="text1"/>
        </w:rPr>
      </w:pPr>
      <w:r>
        <w:rPr>
          <w:bCs/>
          <w:color w:val="000000" w:themeColor="text1"/>
        </w:rPr>
        <w:t xml:space="preserve">Creating/Setting up a </w:t>
      </w:r>
      <w:r w:rsidRPr="002E142A">
        <w:rPr>
          <w:bCs/>
          <w:color w:val="000000" w:themeColor="text1"/>
        </w:rPr>
        <w:t xml:space="preserve"> </w:t>
      </w:r>
      <w:r w:rsidR="00E6689B">
        <w:rPr>
          <w:bCs/>
          <w:color w:val="000000" w:themeColor="text1"/>
        </w:rPr>
        <w:t xml:space="preserve">professionally managed </w:t>
      </w:r>
      <w:r w:rsidRPr="002E142A">
        <w:rPr>
          <w:bCs/>
          <w:color w:val="000000" w:themeColor="text1"/>
        </w:rPr>
        <w:t xml:space="preserve">separate entity to hold all </w:t>
      </w:r>
      <w:r>
        <w:rPr>
          <w:bCs/>
          <w:color w:val="000000" w:themeColor="text1"/>
        </w:rPr>
        <w:t xml:space="preserve">SOE </w:t>
      </w:r>
      <w:r w:rsidRPr="002E142A">
        <w:rPr>
          <w:bCs/>
          <w:color w:val="000000" w:themeColor="text1"/>
        </w:rPr>
        <w:t xml:space="preserve"> shares</w:t>
      </w:r>
      <w:r>
        <w:rPr>
          <w:bCs/>
          <w:color w:val="000000" w:themeColor="text1"/>
        </w:rPr>
        <w:t xml:space="preserve"> and manage the government interface with the SOE , unlike the current practice which has the Administrative Ministry in a  central role in running the SOE, may </w:t>
      </w:r>
      <w:r w:rsidRPr="002E142A">
        <w:rPr>
          <w:bCs/>
          <w:color w:val="000000" w:themeColor="text1"/>
        </w:rPr>
        <w:t xml:space="preserve">sharpen the distinction between owners and managers and </w:t>
      </w:r>
      <w:r w:rsidR="00E6689B">
        <w:rPr>
          <w:bCs/>
          <w:color w:val="000000" w:themeColor="text1"/>
        </w:rPr>
        <w:t>improve corporate governance.</w:t>
      </w:r>
    </w:p>
    <w:p w:rsidR="00E6689B" w:rsidRDefault="00E6689B" w:rsidP="00E6689B">
      <w:pPr>
        <w:spacing w:after="0"/>
        <w:rPr>
          <w:bCs/>
          <w:color w:val="000000" w:themeColor="text1"/>
        </w:rPr>
      </w:pPr>
    </w:p>
    <w:p w:rsidR="009B3DFB" w:rsidRPr="00E6689B" w:rsidRDefault="00E6689B" w:rsidP="009B3DFB">
      <w:pPr>
        <w:pStyle w:val="ListParagraph"/>
        <w:numPr>
          <w:ilvl w:val="0"/>
          <w:numId w:val="8"/>
        </w:numPr>
        <w:spacing w:after="0"/>
        <w:rPr>
          <w:bCs/>
          <w:color w:val="000000" w:themeColor="text1"/>
        </w:rPr>
      </w:pPr>
      <w:r w:rsidRPr="00E6689B">
        <w:rPr>
          <w:bCs/>
          <w:color w:val="000000" w:themeColor="text1"/>
        </w:rPr>
        <w:t>The common shareholding entity envisaged as a holding company for all SOEs can play a broader role for temporary warehousing of Indian</w:t>
      </w:r>
      <w:r w:rsidR="007A25D6">
        <w:rPr>
          <w:bCs/>
          <w:color w:val="000000" w:themeColor="text1"/>
        </w:rPr>
        <w:t xml:space="preserve"> SOEs</w:t>
      </w:r>
      <w:r w:rsidRPr="00E6689B">
        <w:rPr>
          <w:bCs/>
          <w:color w:val="000000" w:themeColor="text1"/>
        </w:rPr>
        <w:t xml:space="preserve"> in distress and even </w:t>
      </w:r>
      <w:r>
        <w:rPr>
          <w:bCs/>
          <w:color w:val="000000" w:themeColor="text1"/>
        </w:rPr>
        <w:t>t</w:t>
      </w:r>
      <w:r w:rsidRPr="00E6689B">
        <w:rPr>
          <w:bCs/>
          <w:color w:val="000000" w:themeColor="text1"/>
        </w:rPr>
        <w:t xml:space="preserve">o manage the Sovereign Fund </w:t>
      </w:r>
      <w:r>
        <w:rPr>
          <w:bCs/>
          <w:color w:val="000000" w:themeColor="text1"/>
        </w:rPr>
        <w:t>to acquire assets overseas.</w:t>
      </w:r>
      <w:r w:rsidR="009B3DFB" w:rsidRPr="00E6689B">
        <w:rPr>
          <w:bCs/>
          <w:color w:val="000000" w:themeColor="text1"/>
        </w:rPr>
        <w:t xml:space="preserve"> </w:t>
      </w:r>
    </w:p>
    <w:p w:rsidR="00E6689B" w:rsidRPr="00E6689B" w:rsidRDefault="00E6689B" w:rsidP="00E6689B">
      <w:pPr>
        <w:spacing w:after="0"/>
        <w:rPr>
          <w:bCs/>
          <w:color w:val="000000" w:themeColor="text1"/>
        </w:rPr>
      </w:pPr>
    </w:p>
    <w:p w:rsidR="00822555" w:rsidRDefault="00E6689B" w:rsidP="00822555">
      <w:pPr>
        <w:pStyle w:val="ListParagraph"/>
        <w:numPr>
          <w:ilvl w:val="0"/>
          <w:numId w:val="8"/>
        </w:numPr>
        <w:spacing w:after="0"/>
        <w:rPr>
          <w:bCs/>
          <w:color w:val="000000" w:themeColor="text1"/>
        </w:rPr>
      </w:pPr>
      <w:r>
        <w:rPr>
          <w:bCs/>
          <w:color w:val="000000" w:themeColor="text1"/>
        </w:rPr>
        <w:t>Incorporate best practices from abroad.  What?</w:t>
      </w:r>
      <w:r w:rsidR="00822555">
        <w:rPr>
          <w:bCs/>
          <w:color w:val="000000" w:themeColor="text1"/>
        </w:rPr>
        <w:t xml:space="preserve"> </w:t>
      </w:r>
    </w:p>
    <w:p w:rsidR="00822555" w:rsidRPr="00D32F9E" w:rsidRDefault="00822555" w:rsidP="00822555">
      <w:pPr>
        <w:pStyle w:val="ListParagraph"/>
        <w:tabs>
          <w:tab w:val="left" w:pos="2977"/>
        </w:tabs>
        <w:spacing w:after="0"/>
        <w:ind w:left="0"/>
        <w:rPr>
          <w:rFonts w:cstheme="minorHAnsi"/>
          <w:b/>
          <w:szCs w:val="24"/>
        </w:rPr>
      </w:pPr>
    </w:p>
    <w:p w:rsidR="00D01664" w:rsidRPr="00D32F9E" w:rsidRDefault="00D01664" w:rsidP="00D32F9E">
      <w:pPr>
        <w:autoSpaceDE w:val="0"/>
        <w:autoSpaceDN w:val="0"/>
        <w:adjustRightInd w:val="0"/>
        <w:spacing w:after="0"/>
        <w:rPr>
          <w:rFonts w:eastAsiaTheme="minorHAnsi" w:cstheme="minorHAnsi"/>
          <w:lang w:val="en-US" w:eastAsia="en-US"/>
        </w:rPr>
      </w:pPr>
      <w:r w:rsidRPr="00D32F9E">
        <w:rPr>
          <w:rFonts w:eastAsiaTheme="minorHAnsi" w:cstheme="minorHAnsi"/>
          <w:lang w:val="en-US" w:eastAsia="en-US"/>
        </w:rPr>
        <w:t>As a result of the recent financial crisis in the western economies the government has also emerged as a significant shareholder in business and there has been considerable discussion in the role that government should play in such businesses where it became the dominating shareholder.</w:t>
      </w:r>
    </w:p>
    <w:p w:rsidR="00D01664" w:rsidRPr="00D32F9E" w:rsidRDefault="00D01664" w:rsidP="00D32F9E">
      <w:pPr>
        <w:autoSpaceDE w:val="0"/>
        <w:autoSpaceDN w:val="0"/>
        <w:adjustRightInd w:val="0"/>
        <w:spacing w:after="0"/>
        <w:rPr>
          <w:rFonts w:eastAsiaTheme="minorHAnsi" w:cstheme="minorHAnsi"/>
          <w:lang w:val="en-US" w:eastAsia="en-US"/>
        </w:rPr>
      </w:pPr>
    </w:p>
    <w:p w:rsidR="00746C18" w:rsidRPr="00D32F9E" w:rsidRDefault="00D01664" w:rsidP="00D32F9E">
      <w:pPr>
        <w:autoSpaceDE w:val="0"/>
        <w:autoSpaceDN w:val="0"/>
        <w:adjustRightInd w:val="0"/>
        <w:spacing w:after="0"/>
        <w:rPr>
          <w:rFonts w:eastAsiaTheme="minorHAnsi" w:cstheme="minorHAnsi"/>
          <w:lang w:val="en-US" w:eastAsia="en-US"/>
        </w:rPr>
      </w:pPr>
      <w:r w:rsidRPr="00D32F9E">
        <w:rPr>
          <w:rFonts w:eastAsiaTheme="minorHAnsi" w:cstheme="minorHAnsi"/>
          <w:lang w:val="en-US" w:eastAsia="en-US"/>
        </w:rPr>
        <w:t xml:space="preserve">Appearing before a congressional </w:t>
      </w:r>
      <w:r w:rsidR="00746C18" w:rsidRPr="00D32F9E">
        <w:rPr>
          <w:rFonts w:eastAsiaTheme="minorHAnsi" w:cstheme="minorHAnsi"/>
          <w:lang w:val="en-US" w:eastAsia="en-US"/>
        </w:rPr>
        <w:t>subcommittee</w:t>
      </w:r>
      <w:r w:rsidRPr="00D32F9E">
        <w:rPr>
          <w:rFonts w:eastAsiaTheme="minorHAnsi" w:cstheme="minorHAnsi"/>
          <w:lang w:val="en-US" w:eastAsia="en-US"/>
        </w:rPr>
        <w:t xml:space="preserve"> set up to discuss</w:t>
      </w:r>
      <w:r w:rsidR="00303D16" w:rsidRPr="00D32F9E">
        <w:rPr>
          <w:rFonts w:eastAsiaTheme="minorHAnsi" w:cstheme="minorHAnsi"/>
          <w:lang w:val="en-US" w:eastAsia="en-US"/>
        </w:rPr>
        <w:t xml:space="preserve"> principles for the government's exercise of its shareholder rights </w:t>
      </w:r>
      <w:r w:rsidRPr="00D32F9E">
        <w:rPr>
          <w:rFonts w:eastAsiaTheme="minorHAnsi" w:cstheme="minorHAnsi"/>
          <w:lang w:val="en-US" w:eastAsia="en-US"/>
        </w:rPr>
        <w:t>in companies</w:t>
      </w:r>
      <w:r w:rsidR="00303D16" w:rsidRPr="00D32F9E">
        <w:rPr>
          <w:rFonts w:eastAsiaTheme="minorHAnsi" w:cstheme="minorHAnsi"/>
          <w:lang w:val="en-US" w:eastAsia="en-US"/>
        </w:rPr>
        <w:t xml:space="preserve"> like AlG, Citigroup, GM, and Chrysler, purchased under the Troubled Asset Relief</w:t>
      </w:r>
      <w:r w:rsidRPr="00D32F9E">
        <w:rPr>
          <w:rFonts w:eastAsiaTheme="minorHAnsi" w:cstheme="minorHAnsi"/>
          <w:lang w:val="en-US" w:eastAsia="en-US"/>
        </w:rPr>
        <w:t xml:space="preserve"> </w:t>
      </w:r>
      <w:r w:rsidR="00303D16" w:rsidRPr="00D32F9E">
        <w:rPr>
          <w:rFonts w:eastAsiaTheme="minorHAnsi" w:cstheme="minorHAnsi"/>
          <w:lang w:val="en-US" w:eastAsia="en-US"/>
        </w:rPr>
        <w:t>Program (TARP</w:t>
      </w:r>
      <w:r w:rsidR="00746C18" w:rsidRPr="00D32F9E">
        <w:rPr>
          <w:rFonts w:eastAsiaTheme="minorHAnsi" w:cstheme="minorHAnsi"/>
          <w:lang w:val="en-US" w:eastAsia="en-US"/>
        </w:rPr>
        <w:t>,</w:t>
      </w:r>
      <w:r w:rsidR="00303D16" w:rsidRPr="00D32F9E">
        <w:rPr>
          <w:rFonts w:eastAsiaTheme="minorHAnsi" w:cstheme="minorHAnsi"/>
          <w:lang w:val="en-US" w:eastAsia="en-US"/>
        </w:rPr>
        <w:t xml:space="preserve">) established by the Emergency Economic Stabilization Act of </w:t>
      </w:r>
      <w:r w:rsidR="00746C18" w:rsidRPr="00D32F9E">
        <w:rPr>
          <w:rFonts w:eastAsiaTheme="minorHAnsi" w:cstheme="minorHAnsi"/>
          <w:lang w:val="en-US" w:eastAsia="en-US"/>
        </w:rPr>
        <w:t>2008,</w:t>
      </w:r>
      <w:r w:rsidRPr="00D32F9E">
        <w:rPr>
          <w:rFonts w:eastAsiaTheme="minorHAnsi" w:cstheme="minorHAnsi"/>
          <w:lang w:val="en-US" w:eastAsia="en-US"/>
        </w:rPr>
        <w:t>Eckbo testified that while the</w:t>
      </w:r>
      <w:r w:rsidR="00746C18" w:rsidRPr="00D32F9E">
        <w:rPr>
          <w:rFonts w:eastAsiaTheme="minorHAnsi" w:cstheme="minorHAnsi"/>
          <w:lang w:val="en-US" w:eastAsia="en-US"/>
        </w:rPr>
        <w:t xml:space="preserve"> </w:t>
      </w:r>
      <w:r w:rsidR="00303D16" w:rsidRPr="00D32F9E">
        <w:rPr>
          <w:rFonts w:eastAsiaTheme="minorHAnsi" w:cstheme="minorHAnsi"/>
          <w:lang w:val="en-US" w:eastAsia="en-US"/>
        </w:rPr>
        <w:t xml:space="preserve">Obama Administration has begun to formulate principles for managing </w:t>
      </w:r>
      <w:r w:rsidRPr="00D32F9E">
        <w:rPr>
          <w:rFonts w:eastAsiaTheme="minorHAnsi" w:cstheme="minorHAnsi"/>
          <w:lang w:val="en-US" w:eastAsia="en-US"/>
        </w:rPr>
        <w:t xml:space="preserve">government </w:t>
      </w:r>
      <w:r w:rsidR="00303D16" w:rsidRPr="00D32F9E">
        <w:rPr>
          <w:rFonts w:eastAsiaTheme="minorHAnsi" w:cstheme="minorHAnsi"/>
          <w:lang w:val="en-US" w:eastAsia="en-US"/>
        </w:rPr>
        <w:t>shareholdings</w:t>
      </w:r>
      <w:r w:rsidRPr="00D32F9E">
        <w:rPr>
          <w:rFonts w:eastAsiaTheme="minorHAnsi" w:cstheme="minorHAnsi"/>
          <w:lang w:val="en-US" w:eastAsia="en-US"/>
        </w:rPr>
        <w:t xml:space="preserve"> in enterprises </w:t>
      </w:r>
      <w:r w:rsidR="00303D16" w:rsidRPr="00D32F9E">
        <w:rPr>
          <w:rFonts w:eastAsiaTheme="minorHAnsi" w:cstheme="minorHAnsi"/>
          <w:sz w:val="16"/>
          <w:szCs w:val="16"/>
          <w:lang w:val="en-US" w:eastAsia="en-US"/>
        </w:rPr>
        <w:t xml:space="preserve"> </w:t>
      </w:r>
      <w:r w:rsidR="00303D16" w:rsidRPr="00D32F9E">
        <w:rPr>
          <w:rFonts w:eastAsiaTheme="minorHAnsi" w:cstheme="minorHAnsi"/>
          <w:lang w:val="en-US" w:eastAsia="en-US"/>
        </w:rPr>
        <w:t>these principles lac</w:t>
      </w:r>
      <w:r w:rsidR="00B92AB3" w:rsidRPr="00D32F9E">
        <w:rPr>
          <w:rFonts w:eastAsiaTheme="minorHAnsi" w:cstheme="minorHAnsi"/>
          <w:lang w:val="en-US" w:eastAsia="en-US"/>
        </w:rPr>
        <w:t>k</w:t>
      </w:r>
      <w:r w:rsidR="00746C18" w:rsidRPr="00D32F9E">
        <w:rPr>
          <w:rFonts w:eastAsiaTheme="minorHAnsi" w:cstheme="minorHAnsi"/>
          <w:lang w:val="en-US" w:eastAsia="en-US"/>
        </w:rPr>
        <w:t>ed</w:t>
      </w:r>
      <w:r w:rsidR="00303D16" w:rsidRPr="00D32F9E">
        <w:rPr>
          <w:rFonts w:eastAsiaTheme="minorHAnsi" w:cstheme="minorHAnsi"/>
          <w:lang w:val="en-US" w:eastAsia="en-US"/>
        </w:rPr>
        <w:t xml:space="preserve"> detail and should be broadened</w:t>
      </w:r>
      <w:r w:rsidR="00B92AB3" w:rsidRPr="00D32F9E">
        <w:rPr>
          <w:rStyle w:val="FootnoteReference"/>
          <w:rFonts w:eastAsiaTheme="minorHAnsi" w:cstheme="minorHAnsi"/>
          <w:lang w:val="en-US" w:eastAsia="en-US"/>
        </w:rPr>
        <w:footnoteReference w:id="88"/>
      </w:r>
      <w:r w:rsidR="00303D16" w:rsidRPr="00D32F9E">
        <w:rPr>
          <w:rFonts w:eastAsiaTheme="minorHAnsi" w:cstheme="minorHAnsi"/>
          <w:lang w:val="en-US" w:eastAsia="en-US"/>
        </w:rPr>
        <w:t>.</w:t>
      </w:r>
    </w:p>
    <w:p w:rsidR="00746C18" w:rsidRPr="00D32F9E" w:rsidRDefault="00746C18" w:rsidP="00D32F9E">
      <w:pPr>
        <w:autoSpaceDE w:val="0"/>
        <w:autoSpaceDN w:val="0"/>
        <w:adjustRightInd w:val="0"/>
        <w:spacing w:after="0"/>
        <w:rPr>
          <w:rFonts w:eastAsiaTheme="minorHAnsi" w:cstheme="minorHAnsi"/>
          <w:i/>
          <w:lang w:val="en-US" w:eastAsia="en-US"/>
        </w:rPr>
      </w:pPr>
    </w:p>
    <w:p w:rsidR="00B92AB3" w:rsidRPr="00D32F9E" w:rsidRDefault="00303D16" w:rsidP="00D32F9E">
      <w:pPr>
        <w:autoSpaceDE w:val="0"/>
        <w:autoSpaceDN w:val="0"/>
        <w:adjustRightInd w:val="0"/>
        <w:spacing w:after="0"/>
        <w:rPr>
          <w:rFonts w:eastAsiaTheme="minorHAnsi" w:cstheme="minorHAnsi"/>
          <w:lang w:val="en-US" w:eastAsia="en-US"/>
        </w:rPr>
      </w:pPr>
      <w:r w:rsidRPr="00D32F9E">
        <w:rPr>
          <w:rFonts w:eastAsiaTheme="minorHAnsi" w:cstheme="minorHAnsi"/>
          <w:i/>
          <w:lang w:val="en-US" w:eastAsia="en-US"/>
        </w:rPr>
        <w:lastRenderedPageBreak/>
        <w:t xml:space="preserve"> </w:t>
      </w:r>
      <w:r w:rsidR="00B92AB3" w:rsidRPr="00D32F9E">
        <w:rPr>
          <w:rFonts w:eastAsiaTheme="minorHAnsi" w:cstheme="minorHAnsi"/>
          <w:lang w:val="en-US" w:eastAsia="en-US"/>
        </w:rPr>
        <w:t>I</w:t>
      </w:r>
      <w:r w:rsidR="00746C18" w:rsidRPr="00D32F9E">
        <w:rPr>
          <w:rFonts w:eastAsiaTheme="minorHAnsi" w:cstheme="minorHAnsi"/>
          <w:lang w:val="en-US" w:eastAsia="en-US"/>
        </w:rPr>
        <w:t xml:space="preserve">n his </w:t>
      </w:r>
      <w:r w:rsidRPr="00D32F9E">
        <w:rPr>
          <w:rFonts w:eastAsiaTheme="minorHAnsi" w:cstheme="minorHAnsi"/>
          <w:lang w:val="en-US" w:eastAsia="en-US"/>
        </w:rPr>
        <w:t>testimony</w:t>
      </w:r>
      <w:r w:rsidR="00B92AB3" w:rsidRPr="00D32F9E">
        <w:rPr>
          <w:rFonts w:eastAsiaTheme="minorHAnsi" w:cstheme="minorHAnsi"/>
          <w:lang w:val="en-US" w:eastAsia="en-US"/>
        </w:rPr>
        <w:t xml:space="preserve"> Eckbo argued</w:t>
      </w:r>
      <w:r w:rsidR="00B92AB3" w:rsidRPr="00D32F9E">
        <w:rPr>
          <w:rStyle w:val="FootnoteReference"/>
          <w:rFonts w:eastAsiaTheme="minorHAnsi" w:cstheme="minorHAnsi"/>
          <w:lang w:val="en-US" w:eastAsia="en-US"/>
        </w:rPr>
        <w:footnoteReference w:id="89"/>
      </w:r>
      <w:r w:rsidR="00B92AB3" w:rsidRPr="00D32F9E">
        <w:rPr>
          <w:rFonts w:eastAsiaTheme="minorHAnsi" w:cstheme="minorHAnsi"/>
          <w:lang w:val="en-US" w:eastAsia="en-US"/>
        </w:rPr>
        <w:t xml:space="preserve"> </w:t>
      </w:r>
      <w:r w:rsidRPr="00D32F9E">
        <w:rPr>
          <w:rFonts w:eastAsiaTheme="minorHAnsi" w:cstheme="minorHAnsi"/>
          <w:lang w:val="en-US" w:eastAsia="en-US"/>
        </w:rPr>
        <w:t xml:space="preserve"> that the government ought to adopt a pro-active stance in terms of exercising voting</w:t>
      </w:r>
      <w:r w:rsidR="00B92AB3" w:rsidRPr="00D32F9E">
        <w:rPr>
          <w:rFonts w:eastAsiaTheme="minorHAnsi" w:cstheme="minorHAnsi"/>
          <w:lang w:val="en-US" w:eastAsia="en-US"/>
        </w:rPr>
        <w:t xml:space="preserve"> </w:t>
      </w:r>
      <w:r w:rsidRPr="00D32F9E">
        <w:rPr>
          <w:rFonts w:eastAsiaTheme="minorHAnsi" w:cstheme="minorHAnsi"/>
          <w:lang w:val="en-US" w:eastAsia="en-US"/>
        </w:rPr>
        <w:t>rights</w:t>
      </w:r>
      <w:r w:rsidR="00B92AB3" w:rsidRPr="00D32F9E">
        <w:rPr>
          <w:rFonts w:eastAsiaTheme="minorHAnsi" w:cstheme="minorHAnsi"/>
          <w:lang w:val="en-US" w:eastAsia="en-US"/>
        </w:rPr>
        <w:t xml:space="preserve"> because</w:t>
      </w:r>
      <w:r w:rsidRPr="00D32F9E">
        <w:rPr>
          <w:rFonts w:eastAsiaTheme="minorHAnsi" w:cstheme="minorHAnsi"/>
          <w:lang w:val="en-US" w:eastAsia="en-US"/>
        </w:rPr>
        <w:t xml:space="preserve"> given the strong protection a</w:t>
      </w:r>
      <w:r w:rsidR="00746C18" w:rsidRPr="00D32F9E">
        <w:rPr>
          <w:rFonts w:eastAsiaTheme="minorHAnsi" w:cstheme="minorHAnsi"/>
          <w:lang w:val="en-US" w:eastAsia="en-US"/>
        </w:rPr>
        <w:t>ccor</w:t>
      </w:r>
      <w:r w:rsidRPr="00D32F9E">
        <w:rPr>
          <w:rFonts w:eastAsiaTheme="minorHAnsi" w:cstheme="minorHAnsi"/>
          <w:lang w:val="en-US" w:eastAsia="en-US"/>
        </w:rPr>
        <w:t xml:space="preserve">ded </w:t>
      </w:r>
      <w:r w:rsidR="00746C18" w:rsidRPr="00D32F9E">
        <w:rPr>
          <w:rFonts w:eastAsiaTheme="minorHAnsi" w:cstheme="minorHAnsi"/>
          <w:lang w:val="en-US" w:eastAsia="en-US"/>
        </w:rPr>
        <w:t xml:space="preserve">to </w:t>
      </w:r>
      <w:r w:rsidRPr="00D32F9E">
        <w:rPr>
          <w:rFonts w:eastAsiaTheme="minorHAnsi" w:cstheme="minorHAnsi"/>
          <w:lang w:val="en-US" w:eastAsia="en-US"/>
        </w:rPr>
        <w:t xml:space="preserve">minority shareholders under U.S.corporation laws, the emergence of a large </w:t>
      </w:r>
      <w:r w:rsidR="00B92AB3" w:rsidRPr="00D32F9E">
        <w:rPr>
          <w:rFonts w:eastAsiaTheme="minorHAnsi" w:cstheme="minorHAnsi"/>
          <w:lang w:val="en-US" w:eastAsia="en-US"/>
        </w:rPr>
        <w:t>block holder</w:t>
      </w:r>
      <w:r w:rsidRPr="00D32F9E">
        <w:rPr>
          <w:rFonts w:eastAsiaTheme="minorHAnsi" w:cstheme="minorHAnsi"/>
          <w:lang w:val="en-US" w:eastAsia="en-US"/>
        </w:rPr>
        <w:t xml:space="preserve"> </w:t>
      </w:r>
      <w:r w:rsidR="00B92AB3" w:rsidRPr="00D32F9E">
        <w:rPr>
          <w:rFonts w:eastAsiaTheme="minorHAnsi" w:cstheme="minorHAnsi"/>
          <w:lang w:val="en-US" w:eastAsia="en-US"/>
        </w:rPr>
        <w:t>would be</w:t>
      </w:r>
      <w:r w:rsidRPr="00D32F9E">
        <w:rPr>
          <w:rFonts w:eastAsiaTheme="minorHAnsi" w:cstheme="minorHAnsi"/>
          <w:lang w:val="en-US" w:eastAsia="en-US"/>
        </w:rPr>
        <w:t xml:space="preserve"> generally a positive development for the</w:t>
      </w:r>
      <w:r w:rsidR="00B92AB3" w:rsidRPr="00D32F9E">
        <w:rPr>
          <w:rFonts w:eastAsiaTheme="minorHAnsi" w:cstheme="minorHAnsi"/>
          <w:lang w:val="en-US" w:eastAsia="en-US"/>
        </w:rPr>
        <w:t xml:space="preserve"> </w:t>
      </w:r>
      <w:r w:rsidRPr="00D32F9E">
        <w:rPr>
          <w:rFonts w:eastAsiaTheme="minorHAnsi" w:cstheme="minorHAnsi"/>
          <w:lang w:val="en-US" w:eastAsia="en-US"/>
        </w:rPr>
        <w:t>entire shareholder base</w:t>
      </w:r>
      <w:r w:rsidR="00B92AB3" w:rsidRPr="00D32F9E">
        <w:rPr>
          <w:rFonts w:eastAsiaTheme="minorHAnsi" w:cstheme="minorHAnsi"/>
          <w:lang w:val="en-US" w:eastAsia="en-US"/>
        </w:rPr>
        <w:t xml:space="preserve"> and the m</w:t>
      </w:r>
      <w:r w:rsidRPr="00D32F9E">
        <w:rPr>
          <w:rFonts w:eastAsiaTheme="minorHAnsi" w:cstheme="minorHAnsi"/>
          <w:lang w:val="en-US" w:eastAsia="en-US"/>
        </w:rPr>
        <w:t xml:space="preserve">inority shareholders </w:t>
      </w:r>
      <w:r w:rsidR="00B92AB3" w:rsidRPr="00D32F9E">
        <w:rPr>
          <w:rFonts w:eastAsiaTheme="minorHAnsi" w:cstheme="minorHAnsi"/>
          <w:lang w:val="en-US" w:eastAsia="en-US"/>
        </w:rPr>
        <w:t xml:space="preserve">would </w:t>
      </w:r>
      <w:r w:rsidRPr="00D32F9E">
        <w:rPr>
          <w:rFonts w:eastAsiaTheme="minorHAnsi" w:cstheme="minorHAnsi"/>
          <w:lang w:val="en-US" w:eastAsia="en-US"/>
        </w:rPr>
        <w:t>bene</w:t>
      </w:r>
      <w:r w:rsidR="00746C18" w:rsidRPr="00D32F9E">
        <w:rPr>
          <w:rFonts w:eastAsiaTheme="minorHAnsi" w:cstheme="minorHAnsi"/>
          <w:lang w:val="en-US" w:eastAsia="en-US"/>
        </w:rPr>
        <w:t>fi</w:t>
      </w:r>
      <w:r w:rsidRPr="00D32F9E">
        <w:rPr>
          <w:rFonts w:eastAsiaTheme="minorHAnsi" w:cstheme="minorHAnsi"/>
          <w:lang w:val="en-US" w:eastAsia="en-US"/>
        </w:rPr>
        <w:t xml:space="preserve">t from the presence of a large </w:t>
      </w:r>
      <w:r w:rsidR="00B92AB3" w:rsidRPr="00D32F9E">
        <w:rPr>
          <w:rFonts w:eastAsiaTheme="minorHAnsi" w:cstheme="minorHAnsi"/>
          <w:lang w:val="en-US" w:eastAsia="en-US"/>
        </w:rPr>
        <w:t xml:space="preserve">block holder </w:t>
      </w:r>
      <w:r w:rsidRPr="00D32F9E">
        <w:rPr>
          <w:rFonts w:eastAsiaTheme="minorHAnsi" w:cstheme="minorHAnsi"/>
          <w:lang w:val="en-US" w:eastAsia="en-US"/>
        </w:rPr>
        <w:t>because only the latter has the economic incentive to exercise voting rights in an e</w:t>
      </w:r>
      <w:r w:rsidR="00746C18" w:rsidRPr="00D32F9E">
        <w:rPr>
          <w:rFonts w:eastAsiaTheme="minorHAnsi" w:cstheme="minorHAnsi"/>
          <w:lang w:val="en-US" w:eastAsia="en-US"/>
        </w:rPr>
        <w:t>ffi</w:t>
      </w:r>
      <w:r w:rsidRPr="00D32F9E">
        <w:rPr>
          <w:rFonts w:eastAsiaTheme="minorHAnsi" w:cstheme="minorHAnsi"/>
          <w:lang w:val="en-US" w:eastAsia="en-US"/>
        </w:rPr>
        <w:t xml:space="preserve">cient </w:t>
      </w:r>
      <w:r w:rsidR="00B92AB3" w:rsidRPr="00D32F9E">
        <w:rPr>
          <w:rFonts w:eastAsiaTheme="minorHAnsi" w:cstheme="minorHAnsi"/>
          <w:lang w:val="en-US" w:eastAsia="en-US"/>
        </w:rPr>
        <w:t xml:space="preserve">manner. </w:t>
      </w:r>
    </w:p>
    <w:p w:rsidR="00B92AB3" w:rsidRPr="00D32F9E" w:rsidRDefault="00B92AB3" w:rsidP="00D32F9E">
      <w:pPr>
        <w:autoSpaceDE w:val="0"/>
        <w:autoSpaceDN w:val="0"/>
        <w:adjustRightInd w:val="0"/>
        <w:spacing w:after="0"/>
        <w:rPr>
          <w:rFonts w:eastAsiaTheme="minorHAnsi" w:cstheme="minorHAnsi"/>
          <w:lang w:val="en-US" w:eastAsia="en-US"/>
        </w:rPr>
      </w:pPr>
    </w:p>
    <w:p w:rsidR="00303D16" w:rsidRPr="00D32F9E" w:rsidRDefault="00B92AB3" w:rsidP="00D32F9E">
      <w:pPr>
        <w:autoSpaceDE w:val="0"/>
        <w:autoSpaceDN w:val="0"/>
        <w:adjustRightInd w:val="0"/>
        <w:spacing w:after="0"/>
        <w:rPr>
          <w:rFonts w:cstheme="minorHAnsi"/>
          <w:lang w:val="en-US"/>
        </w:rPr>
      </w:pPr>
      <w:r w:rsidRPr="00D32F9E">
        <w:rPr>
          <w:rFonts w:eastAsiaTheme="minorHAnsi" w:cstheme="minorHAnsi"/>
          <w:lang w:val="en-US" w:eastAsia="en-US"/>
        </w:rPr>
        <w:t>Eckbo suggested</w:t>
      </w:r>
      <w:r w:rsidR="00A00925" w:rsidRPr="00D32F9E">
        <w:rPr>
          <w:rStyle w:val="FootnoteReference"/>
          <w:rFonts w:eastAsiaTheme="minorHAnsi" w:cstheme="minorHAnsi"/>
          <w:lang w:val="en-US" w:eastAsia="en-US"/>
        </w:rPr>
        <w:footnoteReference w:id="90"/>
      </w:r>
      <w:r w:rsidRPr="00D32F9E">
        <w:rPr>
          <w:rFonts w:eastAsiaTheme="minorHAnsi" w:cstheme="minorHAnsi"/>
          <w:lang w:val="en-US" w:eastAsia="en-US"/>
        </w:rPr>
        <w:t xml:space="preserve"> that by taking a pro-active stance on share-voting in accordance with the value-maximizing principle and existing best governance practices, the US </w:t>
      </w:r>
      <w:r w:rsidR="00303D16" w:rsidRPr="00D32F9E">
        <w:rPr>
          <w:rFonts w:eastAsiaTheme="minorHAnsi" w:cstheme="minorHAnsi"/>
          <w:lang w:val="en-US" w:eastAsia="en-US"/>
        </w:rPr>
        <w:t xml:space="preserve"> government is now in a unique position to improve ine</w:t>
      </w:r>
      <w:r w:rsidR="00746C18" w:rsidRPr="00D32F9E">
        <w:rPr>
          <w:rFonts w:eastAsiaTheme="minorHAnsi" w:cstheme="minorHAnsi"/>
          <w:lang w:val="en-US" w:eastAsia="en-US"/>
        </w:rPr>
        <w:t>ffi</w:t>
      </w:r>
      <w:r w:rsidR="00303D16" w:rsidRPr="00D32F9E">
        <w:rPr>
          <w:rFonts w:eastAsiaTheme="minorHAnsi" w:cstheme="minorHAnsi"/>
          <w:lang w:val="en-US" w:eastAsia="en-US"/>
        </w:rPr>
        <w:t>cient governance practices</w:t>
      </w:r>
      <w:r w:rsidRPr="00D32F9E">
        <w:rPr>
          <w:rFonts w:eastAsiaTheme="minorHAnsi" w:cstheme="minorHAnsi"/>
          <w:lang w:val="en-US" w:eastAsia="en-US"/>
        </w:rPr>
        <w:t xml:space="preserve"> and provided </w:t>
      </w:r>
      <w:r w:rsidR="00303D16" w:rsidRPr="00D32F9E">
        <w:rPr>
          <w:rFonts w:eastAsiaTheme="minorHAnsi" w:cstheme="minorHAnsi"/>
          <w:lang w:val="en-US" w:eastAsia="en-US"/>
        </w:rPr>
        <w:t xml:space="preserve"> some guidance</w:t>
      </w:r>
      <w:r w:rsidRPr="00D32F9E">
        <w:rPr>
          <w:rFonts w:eastAsiaTheme="minorHAnsi" w:cstheme="minorHAnsi"/>
          <w:lang w:val="en-US" w:eastAsia="en-US"/>
        </w:rPr>
        <w:t xml:space="preserve"> on actions that the US </w:t>
      </w:r>
      <w:r w:rsidR="00303D16" w:rsidRPr="00D32F9E">
        <w:rPr>
          <w:rFonts w:cstheme="minorHAnsi"/>
          <w:lang w:val="en-US"/>
        </w:rPr>
        <w:t xml:space="preserve"> government</w:t>
      </w:r>
      <w:r w:rsidRPr="00D32F9E">
        <w:rPr>
          <w:rFonts w:cstheme="minorHAnsi"/>
          <w:lang w:val="en-US"/>
        </w:rPr>
        <w:t>,</w:t>
      </w:r>
      <w:r w:rsidR="00303D16" w:rsidRPr="00D32F9E">
        <w:rPr>
          <w:rFonts w:cstheme="minorHAnsi"/>
          <w:lang w:val="en-US"/>
        </w:rPr>
        <w:t xml:space="preserve"> as a shareholder</w:t>
      </w:r>
      <w:r w:rsidRPr="00D32F9E">
        <w:rPr>
          <w:rFonts w:cstheme="minorHAnsi"/>
          <w:lang w:val="en-US"/>
        </w:rPr>
        <w:t>,</w:t>
      </w:r>
      <w:r w:rsidR="00303D16" w:rsidRPr="00D32F9E">
        <w:rPr>
          <w:rFonts w:cstheme="minorHAnsi"/>
          <w:lang w:val="en-US"/>
        </w:rPr>
        <w:t xml:space="preserve"> ought to</w:t>
      </w:r>
      <w:r w:rsidRPr="00D32F9E">
        <w:rPr>
          <w:rFonts w:cstheme="minorHAnsi"/>
          <w:lang w:val="en-US"/>
        </w:rPr>
        <w:t xml:space="preserve"> do</w:t>
      </w:r>
      <w:r w:rsidR="00303D16" w:rsidRPr="00D32F9E">
        <w:rPr>
          <w:rFonts w:cstheme="minorHAnsi"/>
          <w:lang w:val="en-US"/>
        </w:rPr>
        <w:t>:</w:t>
      </w:r>
    </w:p>
    <w:p w:rsidR="00303D16" w:rsidRPr="00D32F9E" w:rsidRDefault="00303D16" w:rsidP="00D32F9E">
      <w:pPr>
        <w:spacing w:after="0"/>
        <w:rPr>
          <w:rFonts w:cstheme="minorHAnsi"/>
          <w:lang w:val="en-US"/>
        </w:rPr>
      </w:pPr>
      <w:r w:rsidRPr="00D32F9E">
        <w:rPr>
          <w:rFonts w:cstheme="minorHAnsi"/>
          <w:lang w:val="en-US"/>
        </w:rPr>
        <w:t xml:space="preserve">(1) </w:t>
      </w:r>
      <w:r w:rsidR="00B92AB3" w:rsidRPr="00D32F9E">
        <w:rPr>
          <w:rFonts w:cstheme="minorHAnsi"/>
          <w:lang w:val="en-US"/>
        </w:rPr>
        <w:t>P</w:t>
      </w:r>
      <w:r w:rsidRPr="00D32F9E">
        <w:rPr>
          <w:rFonts w:cstheme="minorHAnsi"/>
          <w:lang w:val="en-US"/>
        </w:rPr>
        <w:t xml:space="preserve">lay a proactive role in developing best corporate governance </w:t>
      </w:r>
      <w:r w:rsidR="00B92AB3" w:rsidRPr="00D32F9E">
        <w:rPr>
          <w:rFonts w:cstheme="minorHAnsi"/>
          <w:lang w:val="en-US"/>
        </w:rPr>
        <w:t>practices,</w:t>
      </w:r>
    </w:p>
    <w:p w:rsidR="00303D16" w:rsidRPr="00D32F9E" w:rsidRDefault="00303D16" w:rsidP="00D32F9E">
      <w:pPr>
        <w:spacing w:after="0"/>
        <w:rPr>
          <w:rFonts w:cstheme="minorHAnsi"/>
          <w:lang w:val="en-US"/>
        </w:rPr>
      </w:pPr>
      <w:r w:rsidRPr="00D32F9E">
        <w:rPr>
          <w:rFonts w:cstheme="minorHAnsi"/>
          <w:lang w:val="en-US"/>
        </w:rPr>
        <w:t xml:space="preserve">(2) </w:t>
      </w:r>
      <w:r w:rsidR="00B92AB3" w:rsidRPr="00D32F9E">
        <w:rPr>
          <w:rFonts w:cstheme="minorHAnsi"/>
          <w:lang w:val="en-US"/>
        </w:rPr>
        <w:t>S</w:t>
      </w:r>
      <w:r w:rsidRPr="00D32F9E">
        <w:rPr>
          <w:rFonts w:cstheme="minorHAnsi"/>
          <w:lang w:val="en-US"/>
        </w:rPr>
        <w:t xml:space="preserve">upport a policy of maximizing shareholder </w:t>
      </w:r>
      <w:r w:rsidR="00B92AB3" w:rsidRPr="00D32F9E">
        <w:rPr>
          <w:rFonts w:cstheme="minorHAnsi"/>
          <w:lang w:val="en-US"/>
        </w:rPr>
        <w:t>value,</w:t>
      </w:r>
    </w:p>
    <w:p w:rsidR="00303D16" w:rsidRPr="00D32F9E" w:rsidRDefault="00303D16" w:rsidP="00D32F9E">
      <w:pPr>
        <w:spacing w:after="0"/>
        <w:rPr>
          <w:rFonts w:cstheme="minorHAnsi"/>
          <w:lang w:val="en-US"/>
        </w:rPr>
      </w:pPr>
      <w:r w:rsidRPr="00D32F9E">
        <w:rPr>
          <w:rFonts w:cstheme="minorHAnsi"/>
          <w:lang w:val="en-US"/>
        </w:rPr>
        <w:t xml:space="preserve">(3) </w:t>
      </w:r>
      <w:r w:rsidR="00B92AB3" w:rsidRPr="00D32F9E">
        <w:rPr>
          <w:rFonts w:cstheme="minorHAnsi"/>
          <w:lang w:val="en-US"/>
        </w:rPr>
        <w:t>P</w:t>
      </w:r>
      <w:r w:rsidRPr="00D32F9E">
        <w:rPr>
          <w:rFonts w:cstheme="minorHAnsi"/>
          <w:lang w:val="en-US"/>
        </w:rPr>
        <w:t xml:space="preserve">romote transparency and a focus on minority shareholder rights </w:t>
      </w:r>
      <w:r w:rsidR="00746C18" w:rsidRPr="00D32F9E">
        <w:rPr>
          <w:rFonts w:cstheme="minorHAnsi"/>
          <w:lang w:val="en-US"/>
        </w:rPr>
        <w:t>protection,</w:t>
      </w:r>
    </w:p>
    <w:p w:rsidR="00303D16" w:rsidRPr="00D32F9E" w:rsidRDefault="00303D16" w:rsidP="00D32F9E">
      <w:pPr>
        <w:spacing w:after="0"/>
        <w:rPr>
          <w:rFonts w:cstheme="minorHAnsi"/>
          <w:lang w:val="en-US"/>
        </w:rPr>
      </w:pPr>
      <w:r w:rsidRPr="00D32F9E">
        <w:rPr>
          <w:rFonts w:cstheme="minorHAnsi"/>
          <w:lang w:val="en-US"/>
        </w:rPr>
        <w:t xml:space="preserve">(4) </w:t>
      </w:r>
      <w:r w:rsidR="00A00925" w:rsidRPr="00D32F9E">
        <w:rPr>
          <w:rFonts w:cstheme="minorHAnsi"/>
          <w:lang w:val="en-US"/>
        </w:rPr>
        <w:t>Organize</w:t>
      </w:r>
      <w:r w:rsidRPr="00D32F9E">
        <w:rPr>
          <w:rFonts w:cstheme="minorHAnsi"/>
          <w:lang w:val="en-US"/>
        </w:rPr>
        <w:t xml:space="preserve"> the management of its ownership positions in an independent entity,</w:t>
      </w:r>
    </w:p>
    <w:p w:rsidR="00303D16" w:rsidRPr="00D32F9E" w:rsidRDefault="00303D16" w:rsidP="00D32F9E">
      <w:pPr>
        <w:spacing w:after="0"/>
        <w:rPr>
          <w:rFonts w:cstheme="minorHAnsi"/>
          <w:lang w:val="en-US"/>
        </w:rPr>
      </w:pPr>
      <w:r w:rsidRPr="00D32F9E">
        <w:rPr>
          <w:rFonts w:cstheme="minorHAnsi"/>
          <w:lang w:val="en-US"/>
        </w:rPr>
        <w:t xml:space="preserve">(5) </w:t>
      </w:r>
      <w:r w:rsidR="00B92AB3" w:rsidRPr="00D32F9E">
        <w:rPr>
          <w:rFonts w:cstheme="minorHAnsi"/>
          <w:lang w:val="en-US"/>
        </w:rPr>
        <w:t>S</w:t>
      </w:r>
      <w:r w:rsidRPr="00D32F9E">
        <w:rPr>
          <w:rFonts w:cstheme="minorHAnsi"/>
          <w:lang w:val="en-US"/>
        </w:rPr>
        <w:t xml:space="preserve">upport director election </w:t>
      </w:r>
      <w:r w:rsidR="00A00925" w:rsidRPr="00D32F9E">
        <w:rPr>
          <w:rFonts w:cstheme="minorHAnsi"/>
          <w:lang w:val="en-US"/>
        </w:rPr>
        <w:t>reform,</w:t>
      </w:r>
    </w:p>
    <w:p w:rsidR="00303D16" w:rsidRPr="00D32F9E" w:rsidRDefault="00303D16" w:rsidP="00D32F9E">
      <w:pPr>
        <w:spacing w:after="0"/>
        <w:rPr>
          <w:rFonts w:cstheme="minorHAnsi"/>
          <w:lang w:val="en-US"/>
        </w:rPr>
      </w:pPr>
      <w:r w:rsidRPr="00D32F9E">
        <w:rPr>
          <w:rFonts w:cstheme="minorHAnsi"/>
          <w:lang w:val="en-US"/>
        </w:rPr>
        <w:t xml:space="preserve">(6) </w:t>
      </w:r>
      <w:r w:rsidR="00B92AB3" w:rsidRPr="00D32F9E">
        <w:rPr>
          <w:rFonts w:cstheme="minorHAnsi"/>
          <w:lang w:val="en-US"/>
        </w:rPr>
        <w:t>S</w:t>
      </w:r>
      <w:r w:rsidRPr="00D32F9E">
        <w:rPr>
          <w:rFonts w:cstheme="minorHAnsi"/>
          <w:lang w:val="en-US"/>
        </w:rPr>
        <w:t>upport the elimination of staggered boards,</w:t>
      </w:r>
    </w:p>
    <w:p w:rsidR="00303D16" w:rsidRPr="00D32F9E" w:rsidRDefault="00303D16" w:rsidP="00303D16">
      <w:pPr>
        <w:rPr>
          <w:rFonts w:cstheme="minorHAnsi"/>
          <w:lang w:val="en-US"/>
        </w:rPr>
      </w:pPr>
      <w:r w:rsidRPr="00D32F9E">
        <w:rPr>
          <w:rFonts w:cstheme="minorHAnsi"/>
          <w:lang w:val="en-US"/>
        </w:rPr>
        <w:t xml:space="preserve">(7) </w:t>
      </w:r>
      <w:r w:rsidR="00A00925" w:rsidRPr="00D32F9E">
        <w:rPr>
          <w:rFonts w:cstheme="minorHAnsi"/>
          <w:lang w:val="en-US"/>
        </w:rPr>
        <w:t>S</w:t>
      </w:r>
      <w:r w:rsidRPr="00D32F9E">
        <w:rPr>
          <w:rFonts w:cstheme="minorHAnsi"/>
          <w:lang w:val="en-US"/>
        </w:rPr>
        <w:t xml:space="preserve">upport a separation of the positions of CEO and board </w:t>
      </w:r>
      <w:r w:rsidR="00A00925" w:rsidRPr="00D32F9E">
        <w:rPr>
          <w:rFonts w:cstheme="minorHAnsi"/>
          <w:lang w:val="en-US"/>
        </w:rPr>
        <w:t>chairmanship,</w:t>
      </w:r>
    </w:p>
    <w:p w:rsidR="00303D16" w:rsidRPr="00B92AB3" w:rsidRDefault="00303D16" w:rsidP="00303D16">
      <w:pPr>
        <w:rPr>
          <w:lang w:val="en-US"/>
        </w:rPr>
      </w:pPr>
      <w:r w:rsidRPr="00B92AB3">
        <w:rPr>
          <w:lang w:val="en-US"/>
        </w:rPr>
        <w:t xml:space="preserve">(8) </w:t>
      </w:r>
      <w:r w:rsidR="00A00925" w:rsidRPr="00B92AB3">
        <w:rPr>
          <w:lang w:val="en-US"/>
        </w:rPr>
        <w:t>Support</w:t>
      </w:r>
      <w:r w:rsidRPr="00B92AB3">
        <w:rPr>
          <w:lang w:val="en-US"/>
        </w:rPr>
        <w:t xml:space="preserve"> compensation policies that based on sophisticated empirical analysis of CEO value</w:t>
      </w:r>
      <w:r w:rsidR="00746C18" w:rsidRPr="00B92AB3">
        <w:rPr>
          <w:lang w:val="en-US"/>
        </w:rPr>
        <w:t xml:space="preserve"> </w:t>
      </w:r>
      <w:r w:rsidR="00A00925" w:rsidRPr="00B92AB3">
        <w:rPr>
          <w:lang w:val="en-US"/>
        </w:rPr>
        <w:t>added.</w:t>
      </w:r>
    </w:p>
    <w:p w:rsidR="00A00925" w:rsidRDefault="00A00925" w:rsidP="00D01664">
      <w:pPr>
        <w:rPr>
          <w:lang w:val="en-US"/>
        </w:rPr>
      </w:pPr>
      <w:r>
        <w:rPr>
          <w:lang w:val="en-US"/>
        </w:rPr>
        <w:t>Eckbo’s prescriptions for the US government have universal applicability and would also apply to the role of the Indian government in SOEs in India.</w:t>
      </w:r>
    </w:p>
    <w:p w:rsidR="00D01664" w:rsidRDefault="00A00925" w:rsidP="00D01664">
      <w:pPr>
        <w:rPr>
          <w:lang w:val="en-US"/>
        </w:rPr>
      </w:pPr>
      <w:r>
        <w:rPr>
          <w:lang w:val="en-US"/>
        </w:rPr>
        <w:t xml:space="preserve"> </w:t>
      </w:r>
      <w:r w:rsidR="00D01664">
        <w:rPr>
          <w:lang w:val="en-US"/>
        </w:rPr>
        <w:t xml:space="preserve">Lastly a question arises on whether, in the wake of the </w:t>
      </w:r>
      <w:r w:rsidR="003E48AA">
        <w:rPr>
          <w:lang w:val="en-US"/>
        </w:rPr>
        <w:t>current</w:t>
      </w:r>
      <w:r w:rsidR="00D01664">
        <w:rPr>
          <w:lang w:val="en-US"/>
        </w:rPr>
        <w:t xml:space="preserve"> signs on protest on the treatment of minority shareholders, would </w:t>
      </w:r>
      <w:r w:rsidR="00375165">
        <w:rPr>
          <w:lang w:val="en-US"/>
        </w:rPr>
        <w:t xml:space="preserve">shares in the </w:t>
      </w:r>
      <w:r w:rsidR="00D01664">
        <w:rPr>
          <w:lang w:val="en-US"/>
        </w:rPr>
        <w:t xml:space="preserve">Indian </w:t>
      </w:r>
      <w:r w:rsidR="00375165">
        <w:rPr>
          <w:lang w:val="en-US"/>
        </w:rPr>
        <w:t>SOE be</w:t>
      </w:r>
      <w:r w:rsidR="00D01664">
        <w:rPr>
          <w:lang w:val="en-US"/>
        </w:rPr>
        <w:t xml:space="preserve"> </w:t>
      </w:r>
      <w:r w:rsidR="00D01664" w:rsidRPr="00B04EAC">
        <w:rPr>
          <w:lang w:val="en-US"/>
        </w:rPr>
        <w:t>shunned</w:t>
      </w:r>
      <w:r w:rsidR="00D01664">
        <w:rPr>
          <w:lang w:val="en-US"/>
        </w:rPr>
        <w:t xml:space="preserve"> by investors?  There is little possibility for that happening and while investors would continue to invest in the shares of SOEs based on an evaluation of their expected returns from such investments. However, such shares would</w:t>
      </w:r>
      <w:r w:rsidR="00D01664" w:rsidRPr="00B04EAC">
        <w:rPr>
          <w:lang w:val="en-US"/>
        </w:rPr>
        <w:t xml:space="preserve"> - and should - trade at a discount to their private-sector peers</w:t>
      </w:r>
      <w:r w:rsidR="00D01664">
        <w:rPr>
          <w:lang w:val="en-US"/>
        </w:rPr>
        <w:t xml:space="preserve"> (in case the SOE is in a competitive field) or would be valued below their full potential (in case the SOE is in a monopolistic field).</w:t>
      </w:r>
    </w:p>
    <w:p w:rsidR="00D01664" w:rsidRDefault="00D01664" w:rsidP="00D01664">
      <w:pPr>
        <w:rPr>
          <w:lang w:val="en-US"/>
        </w:rPr>
      </w:pPr>
      <w:r>
        <w:rPr>
          <w:lang w:val="en-US"/>
        </w:rPr>
        <w:t xml:space="preserve">India, like any other Emerging Nation, would continue to be a </w:t>
      </w:r>
      <w:r w:rsidRPr="00B04EAC">
        <w:rPr>
          <w:lang w:val="en-US"/>
        </w:rPr>
        <w:t xml:space="preserve">great place to invest - if </w:t>
      </w:r>
      <w:r w:rsidR="00A00925">
        <w:rPr>
          <w:lang w:val="en-US"/>
        </w:rPr>
        <w:t>investors</w:t>
      </w:r>
      <w:r w:rsidRPr="00B04EAC">
        <w:rPr>
          <w:lang w:val="en-US"/>
        </w:rPr>
        <w:t xml:space="preserve"> know where to invest and what price to pay for the investments </w:t>
      </w:r>
      <w:r w:rsidR="00A00925">
        <w:rPr>
          <w:lang w:val="en-US"/>
        </w:rPr>
        <w:t>they</w:t>
      </w:r>
      <w:r w:rsidRPr="00B04EAC">
        <w:rPr>
          <w:lang w:val="en-US"/>
        </w:rPr>
        <w:t xml:space="preserve"> make</w:t>
      </w:r>
      <w:r>
        <w:rPr>
          <w:lang w:val="en-US"/>
        </w:rPr>
        <w:t>.</w:t>
      </w:r>
    </w:p>
    <w:p w:rsidR="00D01664" w:rsidRDefault="00287F00" w:rsidP="00D01664">
      <w:pPr>
        <w:rPr>
          <w:lang w:val="en-US"/>
        </w:rPr>
      </w:pPr>
      <w:r>
        <w:rPr>
          <w:lang w:val="en-US"/>
        </w:rPr>
        <w:t>T</w:t>
      </w:r>
      <w:r w:rsidR="00D01664">
        <w:rPr>
          <w:lang w:val="en-US"/>
        </w:rPr>
        <w:t>he extent of discount of the SOE share price to the price of its private sector peer or t</w:t>
      </w:r>
      <w:r w:rsidR="00375165">
        <w:rPr>
          <w:lang w:val="en-US"/>
        </w:rPr>
        <w:t>o</w:t>
      </w:r>
      <w:r w:rsidR="00D01664" w:rsidRPr="00AB50EB">
        <w:rPr>
          <w:lang w:val="en-US"/>
        </w:rPr>
        <w:t xml:space="preserve"> </w:t>
      </w:r>
      <w:r w:rsidR="00D01664">
        <w:rPr>
          <w:lang w:val="en-US"/>
        </w:rPr>
        <w:t>its full potential price would</w:t>
      </w:r>
      <w:r>
        <w:rPr>
          <w:lang w:val="en-US"/>
        </w:rPr>
        <w:t>, however,</w:t>
      </w:r>
      <w:r w:rsidR="00D01664">
        <w:rPr>
          <w:lang w:val="en-US"/>
        </w:rPr>
        <w:t xml:space="preserve"> depend on how the GoI, as a dominant shareholder, treats the minority shareholders in the SOE!</w:t>
      </w:r>
    </w:p>
    <w:p w:rsidR="00D01664" w:rsidRPr="00D01664" w:rsidRDefault="00D01664" w:rsidP="00303D16">
      <w:pPr>
        <w:rPr>
          <w:lang w:val="en-US"/>
        </w:rPr>
      </w:pPr>
    </w:p>
    <w:sectPr w:rsidR="00D01664" w:rsidRPr="00D01664" w:rsidSect="000C3C68">
      <w:pgSz w:w="12240" w:h="15840"/>
      <w:pgMar w:top="1440" w:right="1170" w:bottom="144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F9" w:rsidRDefault="007E43F9" w:rsidP="00C36CB5">
      <w:pPr>
        <w:spacing w:after="0" w:line="240" w:lineRule="auto"/>
      </w:pPr>
      <w:r>
        <w:separator/>
      </w:r>
    </w:p>
  </w:endnote>
  <w:endnote w:type="continuationSeparator" w:id="1">
    <w:p w:rsidR="007E43F9" w:rsidRDefault="007E43F9" w:rsidP="00C3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eX-Helvetica-Light">
    <w:panose1 w:val="00000000000000000000"/>
    <w:charset w:val="00"/>
    <w:family w:val="auto"/>
    <w:notTrueType/>
    <w:pitch w:val="default"/>
    <w:sig w:usb0="00000003" w:usb1="00000000" w:usb2="00000000" w:usb3="00000000" w:csb0="00000001" w:csb1="00000000"/>
  </w:font>
  <w:font w:name="TimesTen-Roman">
    <w:altName w:val="MS Mincho"/>
    <w:panose1 w:val="00000000000000000000"/>
    <w:charset w:val="80"/>
    <w:family w:val="auto"/>
    <w:notTrueType/>
    <w:pitch w:val="default"/>
    <w:sig w:usb0="00000001" w:usb1="08070000" w:usb2="00000010" w:usb3="00000000" w:csb0="00020000" w:csb1="00000000"/>
  </w:font>
  <w:font w:name="TimesTen-Bold">
    <w:altName w:val="MS Mincho"/>
    <w:panose1 w:val="00000000000000000000"/>
    <w:charset w:val="80"/>
    <w:family w:val="auto"/>
    <w:notTrueType/>
    <w:pitch w:val="default"/>
    <w:sig w:usb0="00000001" w:usb1="08070000" w:usb2="00000010" w:usb3="00000000" w:csb0="00020000" w:csb1="00000000"/>
  </w:font>
  <w:font w:name="AGaramond-Regular">
    <w:panose1 w:val="00000000000000000000"/>
    <w:charset w:val="00"/>
    <w:family w:val="roman"/>
    <w:notTrueType/>
    <w:pitch w:val="default"/>
    <w:sig w:usb0="00000003" w:usb1="00000000" w:usb2="00000000" w:usb3="00000000" w:csb0="00000001" w:csb1="00000000"/>
  </w:font>
  <w:font w:name="AGaramond-Regular-SC700">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F9" w:rsidRDefault="007E43F9" w:rsidP="00C36CB5">
      <w:pPr>
        <w:spacing w:after="0" w:line="240" w:lineRule="auto"/>
      </w:pPr>
      <w:r>
        <w:separator/>
      </w:r>
    </w:p>
  </w:footnote>
  <w:footnote w:type="continuationSeparator" w:id="1">
    <w:p w:rsidR="007E43F9" w:rsidRDefault="007E43F9" w:rsidP="00C36CB5">
      <w:pPr>
        <w:spacing w:after="0" w:line="240" w:lineRule="auto"/>
      </w:pPr>
      <w:r>
        <w:continuationSeparator/>
      </w:r>
    </w:p>
  </w:footnote>
  <w:footnote w:id="2">
    <w:p w:rsidR="00EC3485" w:rsidRPr="004F29FA" w:rsidRDefault="00EC3485">
      <w:pPr>
        <w:pStyle w:val="FootnoteText"/>
        <w:rPr>
          <w:lang w:val="en-US"/>
        </w:rPr>
      </w:pPr>
      <w:r>
        <w:rPr>
          <w:rStyle w:val="FootnoteReference"/>
        </w:rPr>
        <w:footnoteRef/>
      </w:r>
      <w:r>
        <w:t xml:space="preserve"> </w:t>
      </w:r>
      <w:r w:rsidRPr="004F29FA">
        <w:t>Shleifer, Andrei and Vishny, Robert W., (1997); A Survey of Corporate Governance</w:t>
      </w:r>
      <w:r>
        <w:t>;</w:t>
      </w:r>
      <w:r w:rsidRPr="004F29FA">
        <w:t xml:space="preserve"> The Journal of Finance, Volume 52, Number 2 (June 1997).</w:t>
      </w:r>
    </w:p>
  </w:footnote>
  <w:footnote w:id="3">
    <w:p w:rsidR="00EC3485" w:rsidRPr="004F29FA" w:rsidRDefault="00EC3485">
      <w:pPr>
        <w:pStyle w:val="FootnoteText"/>
        <w:rPr>
          <w:lang w:val="en-US"/>
        </w:rPr>
      </w:pPr>
      <w:r>
        <w:rPr>
          <w:rStyle w:val="FootnoteReference"/>
        </w:rPr>
        <w:footnoteRef/>
      </w:r>
      <w:r>
        <w:t xml:space="preserve"> </w:t>
      </w:r>
      <w:r w:rsidRPr="004F29FA">
        <w:rPr>
          <w:iCs/>
          <w:lang w:val="en-US"/>
        </w:rPr>
        <w:t>Lucian A. Bebchuk &amp; Assaf Hamdani;</w:t>
      </w:r>
      <w:r w:rsidRPr="004F29FA">
        <w:rPr>
          <w:lang w:val="en-US"/>
        </w:rPr>
        <w:t xml:space="preserve"> ;( 2009) The Elusive Quest for Global Governance Standards - downloaded from  </w:t>
      </w:r>
      <w:hyperlink r:id="rId1" w:history="1">
        <w:r w:rsidRPr="004F29FA">
          <w:rPr>
            <w:rStyle w:val="Hyperlink"/>
            <w:lang w:val="en-US"/>
          </w:rPr>
          <w:t>http://papers.ssrn.com/sol3/papers.cfm?abstract_id=1374331</w:t>
        </w:r>
      </w:hyperlink>
      <w:r>
        <w:t>- have suggested that</w:t>
      </w:r>
      <w:r w:rsidRPr="0027429C">
        <w:rPr>
          <w:lang w:val="en-US"/>
        </w:rPr>
        <w:t xml:space="preserve"> effort</w:t>
      </w:r>
      <w:r>
        <w:rPr>
          <w:lang w:val="en-US"/>
        </w:rPr>
        <w:t xml:space="preserve">s need to be directed towards </w:t>
      </w:r>
      <w:r w:rsidRPr="0027429C">
        <w:rPr>
          <w:lang w:val="en-US"/>
        </w:rPr>
        <w:t>develop</w:t>
      </w:r>
      <w:r>
        <w:rPr>
          <w:lang w:val="en-US"/>
        </w:rPr>
        <w:t>ing</w:t>
      </w:r>
      <w:r w:rsidRPr="0027429C">
        <w:rPr>
          <w:lang w:val="en-US"/>
        </w:rPr>
        <w:t xml:space="preserve"> and implement</w:t>
      </w:r>
      <w:r>
        <w:rPr>
          <w:lang w:val="en-US"/>
        </w:rPr>
        <w:t>ing</w:t>
      </w:r>
      <w:r w:rsidRPr="0027429C">
        <w:rPr>
          <w:lang w:val="en-US"/>
        </w:rPr>
        <w:t xml:space="preserve"> separate methodologies for assessing governance in companies with and without a controlling shareholder</w:t>
      </w:r>
      <w:r>
        <w:t>.</w:t>
      </w:r>
    </w:p>
  </w:footnote>
  <w:footnote w:id="4">
    <w:p w:rsidR="00EC3485" w:rsidRPr="00E57CCA" w:rsidRDefault="00EC3485" w:rsidP="00E57CCA">
      <w:pPr>
        <w:pStyle w:val="FootnoteText"/>
        <w:rPr>
          <w:lang w:val="en-US"/>
        </w:rPr>
      </w:pPr>
      <w:r>
        <w:rPr>
          <w:rStyle w:val="FootnoteReference"/>
        </w:rPr>
        <w:footnoteRef/>
      </w:r>
      <w:r>
        <w:t xml:space="preserve"> </w:t>
      </w:r>
      <w:r w:rsidRPr="00E57CCA">
        <w:rPr>
          <w:rFonts w:cstheme="minorHAnsi"/>
          <w:bCs/>
          <w:lang w:val="en-US"/>
        </w:rPr>
        <w:t>Michael N. Young, Mike W. Peng, David Ahlstrom, Garry D. Bruton and Yi Jiang (2008);</w:t>
      </w:r>
      <w:r w:rsidRPr="00E57CCA">
        <w:rPr>
          <w:rFonts w:eastAsiaTheme="minorHAnsi" w:cstheme="minorHAnsi"/>
          <w:iCs/>
          <w:lang w:val="en-US" w:eastAsia="en-US"/>
        </w:rPr>
        <w:t xml:space="preserve"> </w:t>
      </w:r>
      <w:r w:rsidRPr="00E57CCA">
        <w:rPr>
          <w:rFonts w:eastAsiaTheme="minorHAnsi" w:cstheme="minorHAnsi"/>
          <w:bCs/>
          <w:iCs/>
          <w:lang w:val="en-US" w:eastAsia="en-US"/>
        </w:rPr>
        <w:t xml:space="preserve">Corporate Governance in Emerging Economies: A Review of the Principal–Principal Perspective, </w:t>
      </w:r>
      <w:r w:rsidRPr="00E57CCA">
        <w:rPr>
          <w:rFonts w:eastAsiaTheme="minorHAnsi" w:cstheme="minorHAnsi"/>
          <w:iCs/>
          <w:lang w:val="en-US" w:eastAsia="en-US"/>
        </w:rPr>
        <w:t xml:space="preserve">Journal of Management Studies </w:t>
      </w:r>
      <w:r w:rsidRPr="00E57CCA">
        <w:rPr>
          <w:rFonts w:eastAsiaTheme="minorHAnsi" w:cstheme="minorHAnsi"/>
          <w:lang w:val="en-US" w:eastAsia="en-US"/>
        </w:rPr>
        <w:t>45:1 January 2008</w:t>
      </w:r>
    </w:p>
  </w:footnote>
  <w:footnote w:id="5">
    <w:p w:rsidR="00EC3485" w:rsidRPr="00080E45" w:rsidRDefault="00EC3485">
      <w:pPr>
        <w:pStyle w:val="FootnoteText"/>
        <w:rPr>
          <w:lang w:val="en-US"/>
        </w:rPr>
      </w:pPr>
      <w:r>
        <w:rPr>
          <w:rStyle w:val="FootnoteReference"/>
        </w:rPr>
        <w:footnoteRef/>
      </w:r>
      <w:r>
        <w:t xml:space="preserve"> </w:t>
      </w:r>
      <w:r w:rsidRPr="007961E9">
        <w:rPr>
          <w:lang w:val="en-US"/>
        </w:rPr>
        <w:t>Demsetz, Harold and Lehn, Kenneth (1985); The Structure of Corporate ownership: Causes and Consequences; Journal of Political Economy, 1985, Volume 93, Number 6.</w:t>
      </w:r>
    </w:p>
  </w:footnote>
  <w:footnote w:id="6">
    <w:p w:rsidR="00EC3485" w:rsidRPr="00080E45" w:rsidRDefault="00EC3485">
      <w:pPr>
        <w:pStyle w:val="FootnoteText"/>
        <w:rPr>
          <w:lang w:val="en-US"/>
        </w:rPr>
      </w:pPr>
      <w:r>
        <w:rPr>
          <w:rStyle w:val="FootnoteReference"/>
        </w:rPr>
        <w:footnoteRef/>
      </w:r>
      <w:r>
        <w:t xml:space="preserve"> </w:t>
      </w:r>
      <w:r w:rsidRPr="00BF7A15">
        <w:rPr>
          <w:lang w:val="en-US"/>
        </w:rPr>
        <w:t xml:space="preserve">Bernardo Bortolotti &amp; Mara Faccio ; </w:t>
      </w:r>
      <w:r w:rsidRPr="00BF7A15">
        <w:rPr>
          <w:iCs/>
          <w:lang w:val="en-US"/>
        </w:rPr>
        <w:t>"Reluctant privatization";</w:t>
      </w:r>
      <w:r w:rsidRPr="00BF7A15">
        <w:rPr>
          <w:bCs/>
          <w:lang w:val="en-US"/>
        </w:rPr>
        <w:t>Center for Economic Institutions Working Paper Series ;</w:t>
      </w:r>
      <w:r w:rsidRPr="00BF7A15">
        <w:rPr>
          <w:lang w:val="en-US"/>
        </w:rPr>
        <w:t>CEI Working Paper Series, No. 2006-5 ;Institute of Economic Research ,Hitotsubashi University</w:t>
      </w:r>
      <w:r>
        <w:rPr>
          <w:lang w:val="en-US"/>
        </w:rPr>
        <w:t>.</w:t>
      </w:r>
    </w:p>
  </w:footnote>
  <w:footnote w:id="7">
    <w:p w:rsidR="00EC3485" w:rsidRDefault="00EC3485" w:rsidP="0027429C">
      <w:pPr>
        <w:pStyle w:val="FootnoteText"/>
      </w:pPr>
      <w:r>
        <w:rPr>
          <w:rStyle w:val="FootnoteReference"/>
        </w:rPr>
        <w:footnoteRef/>
      </w:r>
      <w:r>
        <w:t xml:space="preserve">  Varma, Jayanth Rama, (1997), “</w:t>
      </w:r>
      <w:r>
        <w:rPr>
          <w:iCs/>
        </w:rPr>
        <w:t xml:space="preserve">Corporate Governance in India: Disciplining the Dominant </w:t>
      </w:r>
      <w:r>
        <w:t xml:space="preserve">Shareholder”, </w:t>
      </w:r>
      <w:r>
        <w:rPr>
          <w:i/>
          <w:iCs/>
        </w:rPr>
        <w:t>IIMB Management Review</w:t>
      </w:r>
      <w:r>
        <w:t xml:space="preserve">, December 1997, 9(4), 5-18; </w:t>
      </w:r>
    </w:p>
    <w:p w:rsidR="00EC3485" w:rsidRDefault="00EC3485" w:rsidP="0027429C">
      <w:pPr>
        <w:pStyle w:val="FootnoteText"/>
      </w:pPr>
      <w:r>
        <w:t>Available at: &lt;</w:t>
      </w:r>
      <w:hyperlink r:id="rId2" w:history="1">
        <w:r>
          <w:rPr>
            <w:rStyle w:val="Hyperlink"/>
          </w:rPr>
          <w:t>http://www.iimahd.ernet.in/~jrvarma/papers/iimbr9-4.pdf</w:t>
        </w:r>
      </w:hyperlink>
      <w:r>
        <w:t xml:space="preserve">. </w:t>
      </w:r>
    </w:p>
    <w:p w:rsidR="00EC3485" w:rsidRPr="00C36CB5" w:rsidRDefault="00EC3485" w:rsidP="0027429C">
      <w:pPr>
        <w:pStyle w:val="FootnoteText"/>
        <w:rPr>
          <w:lang w:val="en-US"/>
        </w:rPr>
      </w:pPr>
      <w:r>
        <w:rPr>
          <w:rFonts w:cs="Calibri"/>
        </w:rPr>
        <w:t>In Varma’s view, s</w:t>
      </w:r>
      <w:r>
        <w:t>ome of the most glaring abuses of corporate governance in India have been defended on the principle of ‘shareholder democracy’ and, since they have been sanctioned by resolutions of the general body of shareholders, the Board of the Company has been powerless to prevent such abuses. Therefore, in his view, the remedies against corporate governance abuses can lie only outside the company itself and suggests stronger regulation to prevent the abuse of corporate governance in India.</w:t>
      </w:r>
    </w:p>
  </w:footnote>
  <w:footnote w:id="8">
    <w:p w:rsidR="00EC3485" w:rsidRPr="005B616D" w:rsidRDefault="00EC3485" w:rsidP="005B616D">
      <w:pPr>
        <w:pStyle w:val="FootnoteText"/>
        <w:rPr>
          <w:lang w:val="en-US"/>
        </w:rPr>
      </w:pPr>
      <w:r>
        <w:rPr>
          <w:rStyle w:val="FootnoteReference"/>
        </w:rPr>
        <w:footnoteRef/>
      </w:r>
      <w:r>
        <w:t xml:space="preserve"> </w:t>
      </w:r>
      <w:r w:rsidRPr="005B616D">
        <w:rPr>
          <w:lang w:val="en-US"/>
        </w:rPr>
        <w:t xml:space="preserve"> Marcel Kahan &amp; Edward Rock</w:t>
      </w:r>
      <w:r>
        <w:rPr>
          <w:lang w:val="en-US"/>
        </w:rPr>
        <w:t>;</w:t>
      </w:r>
      <w:r w:rsidRPr="005B616D">
        <w:t xml:space="preserve"> </w:t>
      </w:r>
      <w:r w:rsidRPr="005B616D">
        <w:rPr>
          <w:lang w:val="en-US"/>
        </w:rPr>
        <w:t>When the Government is the Controlling Shareholder</w:t>
      </w:r>
      <w:r>
        <w:rPr>
          <w:lang w:val="en-US"/>
        </w:rPr>
        <w:t xml:space="preserve"> , available at </w:t>
      </w:r>
      <w:hyperlink r:id="rId3" w:history="1">
        <w:r>
          <w:rPr>
            <w:rStyle w:val="Hyperlink"/>
          </w:rPr>
          <w:t>http://papers.ssrn.com/sol3/papers.cfm?abstract_id=1616266</w:t>
        </w:r>
      </w:hyperlink>
    </w:p>
  </w:footnote>
  <w:footnote w:id="9">
    <w:p w:rsidR="00EC3485" w:rsidRPr="00BF7A15" w:rsidRDefault="00EC3485" w:rsidP="00BF7A15">
      <w:pPr>
        <w:pStyle w:val="FootnoteText"/>
        <w:rPr>
          <w:lang w:val="en-US"/>
        </w:rPr>
      </w:pPr>
      <w:r>
        <w:rPr>
          <w:rStyle w:val="FootnoteReference"/>
        </w:rPr>
        <w:footnoteRef/>
      </w:r>
      <w:r w:rsidRPr="00BF7A15">
        <w:rPr>
          <w:lang w:val="en-US"/>
        </w:rPr>
        <w:t xml:space="preserve">Bernardo Bortolotti &amp; Mara Faccio ; </w:t>
      </w:r>
      <w:r w:rsidRPr="00BF7A15">
        <w:rPr>
          <w:iCs/>
          <w:lang w:val="en-US"/>
        </w:rPr>
        <w:t>"Reluctant privatization";</w:t>
      </w:r>
      <w:r w:rsidRPr="00BF7A15">
        <w:rPr>
          <w:bCs/>
          <w:lang w:val="en-US"/>
        </w:rPr>
        <w:t>Center for Economic Institutions Working Paper Series ;</w:t>
      </w:r>
      <w:r w:rsidRPr="00BF7A15">
        <w:rPr>
          <w:lang w:val="en-US"/>
        </w:rPr>
        <w:t>CEI Working Paper Series, No. 2006-5 ;Institute of Economic Research ,Hitotsubashi University</w:t>
      </w:r>
      <w:r>
        <w:rPr>
          <w:lang w:val="en-US"/>
        </w:rPr>
        <w:t>,</w:t>
      </w:r>
      <w:r w:rsidRPr="00BF7A15">
        <w:rPr>
          <w:lang w:val="en-US"/>
        </w:rPr>
        <w:t xml:space="preserve"> documented</w:t>
      </w:r>
      <w:r>
        <w:rPr>
          <w:i/>
          <w:lang w:val="en-US"/>
        </w:rPr>
        <w:t xml:space="preserve"> </w:t>
      </w:r>
      <w:r w:rsidRPr="00BF7A15">
        <w:rPr>
          <w:lang w:val="en-US"/>
        </w:rPr>
        <w:t>the evolution of corporate control in privatizations by carrying out a</w:t>
      </w:r>
      <w:r>
        <w:rPr>
          <w:lang w:val="en-US"/>
        </w:rPr>
        <w:t xml:space="preserve"> </w:t>
      </w:r>
      <w:r w:rsidRPr="00BF7A15">
        <w:rPr>
          <w:lang w:val="en-US"/>
        </w:rPr>
        <w:t>comprehensive analysis of the structure of ultimate control (voting) rights in a sample of 141</w:t>
      </w:r>
      <w:r>
        <w:rPr>
          <w:lang w:val="en-US"/>
        </w:rPr>
        <w:t xml:space="preserve"> </w:t>
      </w:r>
      <w:r w:rsidRPr="00BF7A15">
        <w:rPr>
          <w:lang w:val="en-US"/>
        </w:rPr>
        <w:t>privatized (publicly traded) companies from developed economies, over the period 1996 to 2000</w:t>
      </w:r>
      <w:r w:rsidR="00E267A1">
        <w:rPr>
          <w:lang w:val="en-US"/>
        </w:rPr>
        <w:t>,</w:t>
      </w:r>
      <w:r>
        <w:rPr>
          <w:lang w:val="en-US"/>
        </w:rPr>
        <w:t xml:space="preserve"> and found </w:t>
      </w:r>
      <w:r w:rsidRPr="00BF7A15">
        <w:rPr>
          <w:lang w:val="en-US"/>
        </w:rPr>
        <w:t xml:space="preserve"> that the most common privatization outcome is that the State remains the largest ultimate owner.</w:t>
      </w:r>
      <w:r>
        <w:rPr>
          <w:lang w:val="en-US"/>
        </w:rPr>
        <w:t xml:space="preserve"> </w:t>
      </w:r>
    </w:p>
  </w:footnote>
  <w:footnote w:id="10">
    <w:p w:rsidR="00EC3485" w:rsidRPr="00BF7A15" w:rsidRDefault="00EC3485">
      <w:pPr>
        <w:pStyle w:val="FootnoteText"/>
        <w:rPr>
          <w:lang w:val="en-US"/>
        </w:rPr>
      </w:pPr>
      <w:r>
        <w:rPr>
          <w:rStyle w:val="FootnoteReference"/>
        </w:rPr>
        <w:footnoteRef/>
      </w:r>
      <w:r>
        <w:t xml:space="preserve"> Id. </w:t>
      </w:r>
      <w:r w:rsidRPr="00BF7A15">
        <w:rPr>
          <w:lang w:val="en-US"/>
        </w:rPr>
        <w:t>Th</w:t>
      </w:r>
      <w:r>
        <w:rPr>
          <w:lang w:val="en-US"/>
        </w:rPr>
        <w:t>e transfer of ownership rights without the corresponding transfer of control rights may</w:t>
      </w:r>
      <w:r w:rsidRPr="00BF7A15">
        <w:rPr>
          <w:lang w:val="en-US"/>
        </w:rPr>
        <w:t xml:space="preserve"> happen because the government remains the largest </w:t>
      </w:r>
      <w:r w:rsidRPr="00BF7A15">
        <w:rPr>
          <w:iCs/>
          <w:lang w:val="en-US"/>
        </w:rPr>
        <w:t xml:space="preserve">ultimate </w:t>
      </w:r>
      <w:r w:rsidRPr="00BF7A15">
        <w:rPr>
          <w:lang w:val="en-US"/>
        </w:rPr>
        <w:t>shareholder of the company, although it no longer</w:t>
      </w:r>
      <w:r>
        <w:rPr>
          <w:lang w:val="en-US"/>
        </w:rPr>
        <w:t xml:space="preserve"> directly</w:t>
      </w:r>
      <w:r w:rsidRPr="00BF7A15">
        <w:rPr>
          <w:lang w:val="en-US"/>
        </w:rPr>
        <w:t xml:space="preserve"> owns </w:t>
      </w:r>
      <w:r>
        <w:rPr>
          <w:lang w:val="en-US"/>
        </w:rPr>
        <w:t xml:space="preserve">the majority </w:t>
      </w:r>
      <w:r w:rsidRPr="00BF7A15">
        <w:rPr>
          <w:lang w:val="en-US"/>
        </w:rPr>
        <w:t>of the stocks, or because it enjoys veto or special powers through its possession of so-called “golden</w:t>
      </w:r>
      <w:r>
        <w:rPr>
          <w:lang w:val="en-US"/>
        </w:rPr>
        <w:t>”</w:t>
      </w:r>
      <w:r w:rsidRPr="00BF7A15">
        <w:rPr>
          <w:lang w:val="en-US"/>
        </w:rPr>
        <w:t xml:space="preserve"> shares.</w:t>
      </w:r>
      <w:r>
        <w:rPr>
          <w:lang w:val="en-US"/>
        </w:rPr>
        <w:t xml:space="preserve"> The study found that</w:t>
      </w:r>
      <w:r w:rsidRPr="00BF7A15">
        <w:rPr>
          <w:lang w:val="en-US"/>
        </w:rPr>
        <w:t>, as of 2000, governments are the largest shareholder or use special control powers to retain voting control of 62.4% of privatized firms.</w:t>
      </w:r>
    </w:p>
  </w:footnote>
  <w:footnote w:id="11">
    <w:p w:rsidR="00EC3485" w:rsidRPr="00E57CCA" w:rsidRDefault="00EC3485">
      <w:pPr>
        <w:pStyle w:val="FootnoteText"/>
        <w:rPr>
          <w:lang w:val="en-US"/>
        </w:rPr>
      </w:pPr>
      <w:r>
        <w:rPr>
          <w:rStyle w:val="FootnoteReference"/>
        </w:rPr>
        <w:footnoteRef/>
      </w:r>
      <w:r>
        <w:t xml:space="preserve"> Supra, Reference 7</w:t>
      </w:r>
      <w:r>
        <w:rPr>
          <w:lang w:val="en-US"/>
        </w:rPr>
        <w:t>.</w:t>
      </w:r>
    </w:p>
  </w:footnote>
  <w:footnote w:id="12">
    <w:p w:rsidR="00EC3485" w:rsidRPr="009655D2" w:rsidRDefault="00EC3485">
      <w:pPr>
        <w:pStyle w:val="FootnoteText"/>
        <w:rPr>
          <w:lang w:val="en-US"/>
        </w:rPr>
      </w:pPr>
      <w:r>
        <w:rPr>
          <w:rStyle w:val="FootnoteReference"/>
        </w:rPr>
        <w:footnoteRef/>
      </w:r>
      <w:r>
        <w:t xml:space="preserve"> </w:t>
      </w:r>
      <w:r>
        <w:rPr>
          <w:lang w:val="en-US"/>
        </w:rPr>
        <w:t>Id.</w:t>
      </w:r>
    </w:p>
  </w:footnote>
  <w:footnote w:id="13">
    <w:p w:rsidR="00EC3485" w:rsidRDefault="00EC3485" w:rsidP="00F016AE">
      <w:pPr>
        <w:pStyle w:val="FootnoteText"/>
        <w:rPr>
          <w:lang w:val="en-US"/>
        </w:rPr>
      </w:pPr>
      <w:r>
        <w:rPr>
          <w:rStyle w:val="FootnoteReference"/>
        </w:rPr>
        <w:footnoteRef/>
      </w:r>
      <w:r>
        <w:t xml:space="preserve"> </w:t>
      </w:r>
      <w:r w:rsidRPr="00F016AE">
        <w:rPr>
          <w:lang w:val="en-US"/>
        </w:rPr>
        <w:t xml:space="preserve"> </w:t>
      </w:r>
      <w:r>
        <w:rPr>
          <w:lang w:val="en-US"/>
        </w:rPr>
        <w:t xml:space="preserve">For instance, the corporate governance issues raised by </w:t>
      </w:r>
      <w:r w:rsidRPr="00F016AE">
        <w:rPr>
          <w:lang w:val="en-US"/>
        </w:rPr>
        <w:t>The Children’s Investment Fund of UK (TCIF) in respect of</w:t>
      </w:r>
      <w:r>
        <w:rPr>
          <w:lang w:val="en-US"/>
        </w:rPr>
        <w:t xml:space="preserve"> the management of Coal India, a State owned enterprises</w:t>
      </w:r>
      <w:r w:rsidRPr="00F016AE">
        <w:rPr>
          <w:lang w:val="en-US"/>
        </w:rPr>
        <w:t xml:space="preserve"> in India</w:t>
      </w:r>
      <w:r>
        <w:rPr>
          <w:lang w:val="en-US"/>
        </w:rPr>
        <w:t>, is an example of the conflict between the external minority shareholders and the State as the dominating shareholder.</w:t>
      </w:r>
    </w:p>
    <w:p w:rsidR="00EC3485" w:rsidRPr="00F016AE" w:rsidRDefault="00EC3485" w:rsidP="00F016AE">
      <w:pPr>
        <w:pStyle w:val="FootnoteText"/>
        <w:rPr>
          <w:lang w:val="en-US"/>
        </w:rPr>
      </w:pPr>
      <w:r w:rsidRPr="00F016AE">
        <w:rPr>
          <w:lang w:val="en-US"/>
        </w:rPr>
        <w:t xml:space="preserve">TCIF is Coal India’s second largest shareholder and owns around 1.1% of the company’s equity whereas the </w:t>
      </w:r>
      <w:r>
        <w:rPr>
          <w:lang w:val="en-US"/>
        </w:rPr>
        <w:t>State</w:t>
      </w:r>
      <w:r w:rsidRPr="00F016AE">
        <w:rPr>
          <w:lang w:val="en-US"/>
        </w:rPr>
        <w:t xml:space="preserve"> ownership in Coal India is 90%.</w:t>
      </w:r>
      <w:r w:rsidRPr="00F016AE">
        <w:rPr>
          <w:rFonts w:ascii="Arial" w:eastAsia="Calibri" w:hAnsi="Arial" w:cs="Arial"/>
          <w:lang w:val="en-US" w:eastAsia="en-US"/>
        </w:rPr>
        <w:t xml:space="preserve"> </w:t>
      </w:r>
      <w:r w:rsidRPr="00F016AE">
        <w:rPr>
          <w:lang w:val="en-US"/>
        </w:rPr>
        <w:t>On March 12,2012 TCIF sent a  of letter to Coal India’s Board of Directors in which they accused Coal India’s Board of Directors of “not taking into account its fiduciary duty” and listed the following principal charges against the Board of Directors</w:t>
      </w:r>
      <w:r>
        <w:rPr>
          <w:lang w:val="en-US"/>
        </w:rPr>
        <w:t>;</w:t>
      </w:r>
      <w:r w:rsidRPr="00F016AE">
        <w:rPr>
          <w:lang w:val="en-US"/>
        </w:rPr>
        <w:t xml:space="preserve"> (1) not resisting government’s ”request” to roll back coal price hikes even though when, as claimed by TCIF, Coal India sells coal at a price that is 70% below landed  international levels for Fuel Supply Agreements; (2) refusing to defy the orders of India’s Prime Minister directing the company to urgently enter into fuel supply agreements with power producers with the stipulation that Coal India would supply at least 80% of the contracted quantity( even if meant that it would have to import coal) else  Coal India would accept penalties; and (3) refusal to resist the Draft Mining Bill in India’s Parliament, which the fund claims is  detrimental to the interests of Coal India. </w:t>
      </w:r>
    </w:p>
    <w:p w:rsidR="00EC3485" w:rsidRDefault="00EC3485">
      <w:pPr>
        <w:pStyle w:val="FootnoteText"/>
        <w:rPr>
          <w:lang w:val="en-US"/>
        </w:rPr>
      </w:pPr>
      <w:r w:rsidRPr="00F016AE">
        <w:rPr>
          <w:lang w:val="en-US"/>
        </w:rPr>
        <w:t>The Children’s Investment Fund ended its letter by threatening Coal India’s individual Board members with legal action.</w:t>
      </w:r>
    </w:p>
    <w:p w:rsidR="00EC3485" w:rsidRPr="00F016AE" w:rsidRDefault="00EC3485">
      <w:pPr>
        <w:pStyle w:val="FootnoteText"/>
        <w:rPr>
          <w:lang w:val="en-US"/>
        </w:rPr>
      </w:pPr>
      <w:r>
        <w:rPr>
          <w:lang w:val="en-US"/>
        </w:rPr>
        <w:t xml:space="preserve">Refer to </w:t>
      </w:r>
      <w:hyperlink r:id="rId4" w:history="1">
        <w:r w:rsidRPr="00133C23">
          <w:rPr>
            <w:rStyle w:val="Hyperlink"/>
            <w:lang w:val="en-US"/>
          </w:rPr>
          <w:t>http://www.coal4india.com</w:t>
        </w:r>
      </w:hyperlink>
      <w:r>
        <w:rPr>
          <w:lang w:val="en-US"/>
        </w:rPr>
        <w:t xml:space="preserve"> for the views of TCIF on the ongoing dispute with Coal India.</w:t>
      </w:r>
    </w:p>
  </w:footnote>
  <w:footnote w:id="14">
    <w:p w:rsidR="00EC3485" w:rsidRPr="005546C8" w:rsidRDefault="00EC3485">
      <w:pPr>
        <w:pStyle w:val="FootnoteText"/>
        <w:rPr>
          <w:lang w:val="en-US"/>
        </w:rPr>
      </w:pPr>
      <w:r>
        <w:rPr>
          <w:rStyle w:val="FootnoteReference"/>
        </w:rPr>
        <w:footnoteRef/>
      </w:r>
      <w:r>
        <w:t xml:space="preserve"> </w:t>
      </w:r>
      <w:r w:rsidRPr="00AA02A2">
        <w:t xml:space="preserve">After independence and with the advent of planning, India opted for the dominance of the public sector, firmly believing that political independence without economic self-reliance was not good for the country. The passage of Industrial Policy Resolution of 1956 and adoption of the socialist pattern of society led to a deliberate enlargement </w:t>
      </w:r>
      <w:r>
        <w:t xml:space="preserve">in the role </w:t>
      </w:r>
      <w:r w:rsidRPr="00AA02A2">
        <w:t xml:space="preserve">of </w:t>
      </w:r>
      <w:r>
        <w:t xml:space="preserve">India’s </w:t>
      </w:r>
      <w:r w:rsidRPr="00AA02A2">
        <w:t>public sector</w:t>
      </w:r>
      <w:r>
        <w:t xml:space="preserve"> as the planners believed </w:t>
      </w:r>
      <w:r w:rsidRPr="00AA02A2">
        <w:t>that a dominant public sector would reduce the inequality of income and wealth and advance the general prosperity of the nation.</w:t>
      </w:r>
      <w:r>
        <w:t xml:space="preserve"> Refer to Chapter 3 of the Disinvestment Manual available at</w:t>
      </w:r>
      <w:r w:rsidRPr="00AA02A2">
        <w:t xml:space="preserve"> </w:t>
      </w:r>
      <w:hyperlink r:id="rId5" w:history="1">
        <w:r>
          <w:rPr>
            <w:rStyle w:val="Hyperlink"/>
          </w:rPr>
          <w:t>http://www.divest.nic.in/chap3.asp</w:t>
        </w:r>
      </w:hyperlink>
    </w:p>
  </w:footnote>
  <w:footnote w:id="15">
    <w:p w:rsidR="00EC3485" w:rsidRPr="00B30954" w:rsidRDefault="00EC3485" w:rsidP="00B30954">
      <w:pPr>
        <w:pStyle w:val="FootnoteText"/>
        <w:rPr>
          <w:lang w:val="en-US"/>
        </w:rPr>
      </w:pPr>
      <w:r>
        <w:rPr>
          <w:rStyle w:val="FootnoteReference"/>
        </w:rPr>
        <w:footnoteRef/>
      </w:r>
      <w:r>
        <w:t xml:space="preserve"> Public Enterprises Survey, 2010-2011- Overview, Annual Report on the Performance of Central Public Sector Enterprises available at </w:t>
      </w:r>
      <w:hyperlink r:id="rId6" w:history="1">
        <w:r>
          <w:rPr>
            <w:rStyle w:val="Hyperlink"/>
          </w:rPr>
          <w:t>http://dpe.nic.in/sites/upload_files/dpe/files/survey1011/survey01/Overview.pdf</w:t>
        </w:r>
      </w:hyperlink>
    </w:p>
  </w:footnote>
  <w:footnote w:id="16">
    <w:p w:rsidR="00EC3485" w:rsidRPr="00AD55FE" w:rsidRDefault="00EC3485" w:rsidP="00753029">
      <w:pPr>
        <w:pStyle w:val="FootnoteText"/>
        <w:rPr>
          <w:lang w:val="en-US"/>
        </w:rPr>
      </w:pPr>
      <w:r>
        <w:rPr>
          <w:rStyle w:val="FootnoteReference"/>
        </w:rPr>
        <w:footnoteRef/>
      </w:r>
      <w:r>
        <w:t xml:space="preserve"> </w:t>
      </w:r>
      <w:r>
        <w:rPr>
          <w:lang w:val="en-US"/>
        </w:rPr>
        <w:t>Id.</w:t>
      </w:r>
    </w:p>
  </w:footnote>
  <w:footnote w:id="17">
    <w:p w:rsidR="00EC3485" w:rsidRPr="00753029" w:rsidRDefault="00EC3485">
      <w:pPr>
        <w:pStyle w:val="FootnoteText"/>
        <w:rPr>
          <w:lang w:val="en-US"/>
        </w:rPr>
      </w:pPr>
      <w:r>
        <w:rPr>
          <w:rStyle w:val="FootnoteReference"/>
        </w:rPr>
        <w:footnoteRef/>
      </w:r>
      <w:r>
        <w:t xml:space="preserve"> </w:t>
      </w:r>
      <w:r w:rsidRPr="00753029">
        <w:rPr>
          <w:bCs/>
          <w:lang w:val="en-US"/>
        </w:rPr>
        <w:t>Bala, Madhu: SSRN network, 14. November 2006.</w:t>
      </w:r>
      <w:r w:rsidRPr="00753029">
        <w:rPr>
          <w:lang w:val="en-US"/>
        </w:rPr>
        <w:t xml:space="preserve"> </w:t>
      </w:r>
      <w:r w:rsidRPr="00753029">
        <w:rPr>
          <w:bCs/>
          <w:lang w:val="en-US"/>
        </w:rPr>
        <w:t>Economic Policy and State Owned Enterprises: Evolution towards Privatization in India</w:t>
      </w:r>
      <w:r>
        <w:rPr>
          <w:bCs/>
          <w:lang w:val="en-US"/>
        </w:rPr>
        <w:t xml:space="preserve">, available at </w:t>
      </w:r>
      <w:hyperlink r:id="rId7" w:history="1">
        <w:r>
          <w:rPr>
            <w:rStyle w:val="Hyperlink"/>
          </w:rPr>
          <w:t>http://mpra.ub.uni-muenchen.de/17946/</w:t>
        </w:r>
      </w:hyperlink>
      <w:r>
        <w:t>.</w:t>
      </w:r>
    </w:p>
  </w:footnote>
  <w:footnote w:id="18">
    <w:p w:rsidR="00EC3485" w:rsidRPr="005A03F6" w:rsidRDefault="00EC3485">
      <w:pPr>
        <w:pStyle w:val="FootnoteText"/>
        <w:rPr>
          <w:lang w:val="en-US"/>
        </w:rPr>
      </w:pPr>
      <w:r>
        <w:rPr>
          <w:rStyle w:val="FootnoteReference"/>
        </w:rPr>
        <w:footnoteRef/>
      </w:r>
      <w:r>
        <w:t xml:space="preserve"> Id.</w:t>
      </w:r>
    </w:p>
  </w:footnote>
  <w:footnote w:id="19">
    <w:p w:rsidR="00EC3485" w:rsidRPr="005A03F6" w:rsidRDefault="00EC3485">
      <w:pPr>
        <w:pStyle w:val="FootnoteText"/>
        <w:rPr>
          <w:lang w:val="en-US"/>
        </w:rPr>
      </w:pPr>
      <w:r>
        <w:rPr>
          <w:rStyle w:val="FootnoteReference"/>
        </w:rPr>
        <w:footnoteRef/>
      </w:r>
      <w:r>
        <w:t xml:space="preserve"> Id.</w:t>
      </w:r>
    </w:p>
  </w:footnote>
  <w:footnote w:id="20">
    <w:p w:rsidR="00EC3485" w:rsidRPr="005A03F6" w:rsidRDefault="00EC3485">
      <w:pPr>
        <w:pStyle w:val="FootnoteText"/>
        <w:rPr>
          <w:lang w:val="en-US"/>
        </w:rPr>
      </w:pPr>
      <w:r>
        <w:rPr>
          <w:rStyle w:val="FootnoteReference"/>
        </w:rPr>
        <w:footnoteRef/>
      </w:r>
      <w:r>
        <w:t xml:space="preserve"> Id.</w:t>
      </w:r>
    </w:p>
  </w:footnote>
  <w:footnote w:id="21">
    <w:p w:rsidR="00EC3485" w:rsidRPr="005A03F6" w:rsidRDefault="00EC3485">
      <w:pPr>
        <w:pStyle w:val="FootnoteText"/>
        <w:rPr>
          <w:lang w:val="en-US"/>
        </w:rPr>
      </w:pPr>
      <w:r>
        <w:rPr>
          <w:rStyle w:val="FootnoteReference"/>
        </w:rPr>
        <w:footnoteRef/>
      </w:r>
      <w:r>
        <w:t xml:space="preserve">The  Disinvestment Policy of the GoI is available on the website of the Department of Disinvestment  at  </w:t>
      </w:r>
      <w:hyperlink r:id="rId8" w:history="1">
        <w:r>
          <w:rPr>
            <w:rStyle w:val="Hyperlink"/>
          </w:rPr>
          <w:t>http://www.divest.nic.in/Dis_Current.asp</w:t>
        </w:r>
      </w:hyperlink>
    </w:p>
  </w:footnote>
  <w:footnote w:id="22">
    <w:p w:rsidR="00EC3485" w:rsidRPr="00AA02A2" w:rsidRDefault="00EC3485">
      <w:pPr>
        <w:pStyle w:val="FootnoteText"/>
        <w:rPr>
          <w:lang w:val="en-US"/>
        </w:rPr>
      </w:pPr>
      <w:r>
        <w:rPr>
          <w:rStyle w:val="FootnoteReference"/>
        </w:rPr>
        <w:footnoteRef/>
      </w:r>
      <w:r>
        <w:t xml:space="preserve"> </w:t>
      </w:r>
      <w:r>
        <w:rPr>
          <w:lang w:val="en-US"/>
        </w:rPr>
        <w:t>Id.</w:t>
      </w:r>
    </w:p>
  </w:footnote>
  <w:footnote w:id="23">
    <w:p w:rsidR="00EC3485" w:rsidRPr="00FE3831" w:rsidRDefault="00EC3485">
      <w:pPr>
        <w:pStyle w:val="FootnoteText"/>
        <w:rPr>
          <w:lang w:val="en-US"/>
        </w:rPr>
      </w:pPr>
      <w:r>
        <w:rPr>
          <w:rStyle w:val="FootnoteReference"/>
        </w:rPr>
        <w:footnoteRef/>
      </w:r>
      <w:r>
        <w:t xml:space="preserve"> </w:t>
      </w:r>
      <w:r w:rsidRPr="00FF2170">
        <w:rPr>
          <w:rFonts w:cstheme="minorHAnsi"/>
          <w:bCs/>
          <w:lang w:val="en-US"/>
        </w:rPr>
        <w:t>For example, the privatization of Neyveli Lignite located in Tamil Nadu was severely opposed by a coalition member, the DMK party, which is based in the same State</w:t>
      </w:r>
      <w:r>
        <w:t xml:space="preserve"> -refer to the debate in the Indian parliament reported at :</w:t>
      </w:r>
      <w:hyperlink r:id="rId9" w:history="1">
        <w:r>
          <w:rPr>
            <w:rStyle w:val="Hyperlink"/>
          </w:rPr>
          <w:t>http://articles.timesofindia.indiatimes.com/2009-06-09/india/28155814_1_disinvestment-policy-psus-dmk</w:t>
        </w:r>
      </w:hyperlink>
      <w:r>
        <w:t xml:space="preserve">  where the </w:t>
      </w:r>
      <w:r w:rsidRPr="00435D73">
        <w:t>Congress-led government's agenda for disinvestment faced opposition from its key</w:t>
      </w:r>
      <w:r>
        <w:t xml:space="preserve"> political ally in the UPA government-</w:t>
      </w:r>
      <w:r w:rsidRPr="00435D73">
        <w:t xml:space="preserve"> DMK</w:t>
      </w:r>
    </w:p>
  </w:footnote>
  <w:footnote w:id="24">
    <w:p w:rsidR="00EC3485" w:rsidRDefault="00EC3485" w:rsidP="007F1172">
      <w:pPr>
        <w:pStyle w:val="FootnoteText"/>
        <w:rPr>
          <w:lang w:val="en-US"/>
        </w:rPr>
      </w:pPr>
      <w:r>
        <w:rPr>
          <w:rStyle w:val="FootnoteReference"/>
        </w:rPr>
        <w:footnoteRef/>
      </w:r>
      <w:r>
        <w:t xml:space="preserve"> </w:t>
      </w:r>
      <w:r w:rsidRPr="00DC167D">
        <w:rPr>
          <w:lang w:val="en-US"/>
        </w:rPr>
        <w:t>Nandini Gupta</w:t>
      </w:r>
      <w:r>
        <w:rPr>
          <w:lang w:val="en-US"/>
        </w:rPr>
        <w:t>,</w:t>
      </w:r>
      <w:r w:rsidRPr="00DC167D">
        <w:rPr>
          <w:lang w:val="en-US"/>
        </w:rPr>
        <w:t xml:space="preserve"> </w:t>
      </w:r>
      <w:r>
        <w:rPr>
          <w:lang w:val="en-US"/>
        </w:rPr>
        <w:t xml:space="preserve">(November 2010) </w:t>
      </w:r>
      <w:r w:rsidRPr="00DC167D">
        <w:rPr>
          <w:lang w:val="en-US"/>
        </w:rPr>
        <w:t>Selling the family silver to pay the grocer</w:t>
      </w:r>
      <w:r>
        <w:rPr>
          <w:lang w:val="en-US"/>
        </w:rPr>
        <w:t>’</w:t>
      </w:r>
      <w:r w:rsidRPr="00DC167D">
        <w:rPr>
          <w:lang w:val="en-US"/>
        </w:rPr>
        <w:t>s bill?</w:t>
      </w:r>
      <w:r>
        <w:rPr>
          <w:lang w:val="en-US"/>
        </w:rPr>
        <w:t xml:space="preserve"> </w:t>
      </w:r>
      <w:r w:rsidRPr="00DC167D">
        <w:rPr>
          <w:lang w:val="en-US"/>
        </w:rPr>
        <w:t>The case of privatization in India</w:t>
      </w:r>
      <w:r>
        <w:rPr>
          <w:lang w:val="en-US"/>
        </w:rPr>
        <w:t xml:space="preserve">; available at </w:t>
      </w:r>
      <w:r w:rsidRPr="005669BD">
        <w:t xml:space="preserve"> </w:t>
      </w:r>
      <w:hyperlink r:id="rId10" w:history="1">
        <w:r>
          <w:rPr>
            <w:rStyle w:val="Hyperlink"/>
          </w:rPr>
          <w:t>http://www.bus.indiana.edu/nagupta/gupta_nov2010.pdf</w:t>
        </w:r>
      </w:hyperlink>
    </w:p>
    <w:p w:rsidR="00EC3485" w:rsidRPr="00DC167D" w:rsidRDefault="00EC3485" w:rsidP="007F1172">
      <w:pPr>
        <w:pStyle w:val="FootnoteText"/>
        <w:rPr>
          <w:lang w:val="en-US"/>
        </w:rPr>
      </w:pPr>
      <w:r>
        <w:rPr>
          <w:lang w:val="en-US"/>
        </w:rPr>
        <w:t xml:space="preserve">This </w:t>
      </w:r>
      <w:r w:rsidRPr="00DC167D">
        <w:rPr>
          <w:rFonts w:eastAsiaTheme="minorHAnsi" w:cstheme="minorHAnsi"/>
          <w:lang w:val="en-US" w:eastAsia="en-US"/>
        </w:rPr>
        <w:t xml:space="preserve">study </w:t>
      </w:r>
      <w:r>
        <w:rPr>
          <w:rFonts w:eastAsiaTheme="minorHAnsi" w:cstheme="minorHAnsi"/>
          <w:lang w:val="en-US" w:eastAsia="en-US"/>
        </w:rPr>
        <w:t>i</w:t>
      </w:r>
      <w:r w:rsidRPr="00DC167D">
        <w:rPr>
          <w:rFonts w:eastAsiaTheme="minorHAnsi" w:cstheme="minorHAnsi"/>
          <w:lang w:val="en-US" w:eastAsia="en-US"/>
        </w:rPr>
        <w:t>nvestigate</w:t>
      </w:r>
      <w:r>
        <w:rPr>
          <w:rFonts w:eastAsiaTheme="minorHAnsi" w:cstheme="minorHAnsi"/>
          <w:lang w:val="en-US" w:eastAsia="en-US"/>
        </w:rPr>
        <w:t>d</w:t>
      </w:r>
      <w:r w:rsidRPr="00DC167D">
        <w:rPr>
          <w:rFonts w:eastAsiaTheme="minorHAnsi" w:cstheme="minorHAnsi"/>
          <w:lang w:val="en-US" w:eastAsia="en-US"/>
        </w:rPr>
        <w:t xml:space="preserve"> </w:t>
      </w:r>
      <w:r w:rsidRPr="00DC167D">
        <w:rPr>
          <w:rFonts w:eastAsiaTheme="minorHAnsi" w:cstheme="minorHAnsi"/>
          <w:color w:val="000000"/>
          <w:lang w:val="en-US" w:eastAsia="en-US"/>
        </w:rPr>
        <w:t xml:space="preserve">the influence of political and financial factors on the decision to privatize government-owned firms using firm-level data from India </w:t>
      </w:r>
      <w:r>
        <w:rPr>
          <w:rFonts w:eastAsiaTheme="minorHAnsi" w:cstheme="minorHAnsi"/>
          <w:color w:val="000000"/>
          <w:lang w:val="en-US" w:eastAsia="en-US"/>
        </w:rPr>
        <w:t xml:space="preserve">and </w:t>
      </w:r>
      <w:r w:rsidRPr="00DC167D">
        <w:rPr>
          <w:rFonts w:eastAsiaTheme="minorHAnsi" w:cstheme="minorHAnsi"/>
          <w:color w:val="000000"/>
          <w:lang w:val="en-US" w:eastAsia="en-US"/>
        </w:rPr>
        <w:t>found that the government significantly delayed privatization in regions where the governing party faces more competition from opposition parties and</w:t>
      </w:r>
      <w:r>
        <w:rPr>
          <w:rFonts w:eastAsiaTheme="minorHAnsi" w:cstheme="minorHAnsi"/>
          <w:color w:val="000000"/>
          <w:lang w:val="en-US" w:eastAsia="en-US"/>
        </w:rPr>
        <w:t xml:space="preserve"> also</w:t>
      </w:r>
      <w:r w:rsidRPr="00DC167D">
        <w:rPr>
          <w:rFonts w:eastAsiaTheme="minorHAnsi" w:cstheme="minorHAnsi"/>
          <w:color w:val="000000"/>
          <w:lang w:val="en-US" w:eastAsia="en-US"/>
        </w:rPr>
        <w:t xml:space="preserve"> that political patronage is </w:t>
      </w:r>
      <w:r>
        <w:rPr>
          <w:rFonts w:eastAsiaTheme="minorHAnsi" w:cstheme="minorHAnsi"/>
          <w:color w:val="000000"/>
          <w:lang w:val="en-US" w:eastAsia="en-US"/>
        </w:rPr>
        <w:t xml:space="preserve">an </w:t>
      </w:r>
      <w:r w:rsidRPr="00DC167D">
        <w:rPr>
          <w:rFonts w:eastAsiaTheme="minorHAnsi" w:cstheme="minorHAnsi"/>
          <w:color w:val="000000"/>
          <w:lang w:val="en-US" w:eastAsia="en-US"/>
        </w:rPr>
        <w:t>important</w:t>
      </w:r>
      <w:r>
        <w:rPr>
          <w:rFonts w:eastAsiaTheme="minorHAnsi" w:cstheme="minorHAnsi"/>
          <w:color w:val="000000"/>
          <w:lang w:val="en-US" w:eastAsia="en-US"/>
        </w:rPr>
        <w:t xml:space="preserve"> consideration for privatization as </w:t>
      </w:r>
      <w:r w:rsidRPr="00DC167D">
        <w:rPr>
          <w:rFonts w:eastAsiaTheme="minorHAnsi" w:cstheme="minorHAnsi"/>
          <w:color w:val="000000"/>
          <w:lang w:val="en-US" w:eastAsia="en-US"/>
        </w:rPr>
        <w:t xml:space="preserve">no government-owned firm located in the home state of the minister in charge </w:t>
      </w:r>
      <w:r>
        <w:rPr>
          <w:rFonts w:eastAsiaTheme="minorHAnsi" w:cstheme="minorHAnsi"/>
          <w:color w:val="000000"/>
          <w:lang w:val="en-US" w:eastAsia="en-US"/>
        </w:rPr>
        <w:t>was</w:t>
      </w:r>
      <w:r w:rsidRPr="00DC167D">
        <w:rPr>
          <w:rFonts w:eastAsiaTheme="minorHAnsi" w:cstheme="minorHAnsi"/>
          <w:color w:val="000000"/>
          <w:lang w:val="en-US" w:eastAsia="en-US"/>
        </w:rPr>
        <w:t xml:space="preserve"> ever privatized.</w:t>
      </w:r>
    </w:p>
  </w:footnote>
  <w:footnote w:id="25">
    <w:p w:rsidR="00EC3485" w:rsidRPr="00AE7670" w:rsidRDefault="00EC3485" w:rsidP="007219C4">
      <w:pPr>
        <w:spacing w:after="0" w:line="240" w:lineRule="auto"/>
        <w:rPr>
          <w:lang w:val="en-US"/>
        </w:rPr>
      </w:pPr>
      <w:r>
        <w:rPr>
          <w:rStyle w:val="FootnoteReference"/>
        </w:rPr>
        <w:footnoteRef/>
      </w:r>
      <w:r>
        <w:t xml:space="preserve"> </w:t>
      </w:r>
      <w:r w:rsidRPr="007219C4">
        <w:rPr>
          <w:sz w:val="20"/>
          <w:szCs w:val="20"/>
        </w:rPr>
        <w:t>Netter, Jeffry M. and Megginson, William L., From State to Market: A Survey of Empirical Studies on Privatization. Journal of Economic Literature, Vol. 39, No. 2, June 2001. Available at SSRN: http://ssrn.com/abstract=262311</w:t>
      </w:r>
      <w:r>
        <w:rPr>
          <w:color w:val="003366"/>
          <w:shd w:val="clear" w:color="auto" w:fill="F2F2F2"/>
        </w:rPr>
        <w:t xml:space="preserve"> </w:t>
      </w:r>
    </w:p>
  </w:footnote>
  <w:footnote w:id="26">
    <w:p w:rsidR="00EC3485" w:rsidRPr="00F6465B" w:rsidRDefault="00EC3485" w:rsidP="00923E5F">
      <w:pPr>
        <w:pStyle w:val="FootnoteText"/>
        <w:rPr>
          <w:lang w:val="en-US"/>
        </w:rPr>
      </w:pPr>
      <w:r>
        <w:rPr>
          <w:rStyle w:val="FootnoteReference"/>
        </w:rPr>
        <w:footnoteRef/>
      </w:r>
      <w:r>
        <w:t xml:space="preserve"> </w:t>
      </w:r>
      <w:r w:rsidRPr="00DC167D">
        <w:rPr>
          <w:lang w:val="en-US"/>
        </w:rPr>
        <w:t>Nandini Gupta</w:t>
      </w:r>
      <w:r>
        <w:rPr>
          <w:lang w:val="en-US"/>
        </w:rPr>
        <w:t xml:space="preserve">, </w:t>
      </w:r>
      <w:r w:rsidRPr="00923E5F">
        <w:rPr>
          <w:lang w:val="en-US"/>
        </w:rPr>
        <w:t>Privatization in South Asia</w:t>
      </w:r>
      <w:r>
        <w:rPr>
          <w:lang w:val="en-US"/>
        </w:rPr>
        <w:t xml:space="preserve"> (November 2006) in </w:t>
      </w:r>
      <w:r w:rsidRPr="00923E5F">
        <w:rPr>
          <w:lang w:val="en-US"/>
        </w:rPr>
        <w:t>Privatization</w:t>
      </w:r>
      <w:r>
        <w:rPr>
          <w:lang w:val="en-US"/>
        </w:rPr>
        <w:t>-</w:t>
      </w:r>
      <w:r w:rsidRPr="00923E5F">
        <w:rPr>
          <w:lang w:val="en-US"/>
        </w:rPr>
        <w:t>Successes and Failures</w:t>
      </w:r>
      <w:r>
        <w:rPr>
          <w:lang w:val="en-US"/>
        </w:rPr>
        <w:t xml:space="preserve"> (</w:t>
      </w:r>
      <w:r w:rsidRPr="00923E5F">
        <w:rPr>
          <w:lang w:val="en-US"/>
        </w:rPr>
        <w:t xml:space="preserve">edited by </w:t>
      </w:r>
      <w:r w:rsidRPr="00923E5F">
        <w:rPr>
          <w:bCs/>
          <w:lang w:val="en-US"/>
        </w:rPr>
        <w:t>Gerard Roland) available at</w:t>
      </w:r>
      <w:r w:rsidRPr="00923E5F">
        <w:t xml:space="preserve"> </w:t>
      </w:r>
      <w:hyperlink r:id="rId11" w:history="1">
        <w:r>
          <w:rPr>
            <w:rStyle w:val="Hyperlink"/>
          </w:rPr>
          <w:t>http://www.kelley.iu.edu/nagupta/privsouthasiaport.pdf</w:t>
        </w:r>
      </w:hyperlink>
    </w:p>
  </w:footnote>
  <w:footnote w:id="27">
    <w:p w:rsidR="00EC3485" w:rsidRDefault="00EC3485">
      <w:pPr>
        <w:pStyle w:val="FootnoteText"/>
        <w:rPr>
          <w:iCs/>
          <w:lang w:val="en-US"/>
        </w:rPr>
      </w:pPr>
      <w:r>
        <w:rPr>
          <w:rStyle w:val="FootnoteReference"/>
        </w:rPr>
        <w:footnoteRef/>
      </w:r>
      <w:r>
        <w:t xml:space="preserve"> The OECD Principles of corporate governance, available at  </w:t>
      </w:r>
      <w:hyperlink r:id="rId12" w:history="1">
        <w:r>
          <w:rPr>
            <w:rStyle w:val="Hyperlink"/>
          </w:rPr>
          <w:t>http://www.oecd.org/dataoecd/32/18/31557724.pdf</w:t>
        </w:r>
      </w:hyperlink>
      <w:r>
        <w:t>,,</w:t>
      </w:r>
      <w:r>
        <w:rPr>
          <w:iCs/>
          <w:lang w:val="en-US"/>
        </w:rPr>
        <w:t>define the principle for t</w:t>
      </w:r>
      <w:r w:rsidRPr="00D45017">
        <w:rPr>
          <w:iCs/>
          <w:lang w:val="en-US"/>
        </w:rPr>
        <w:t xml:space="preserve">he </w:t>
      </w:r>
      <w:r>
        <w:rPr>
          <w:iCs/>
          <w:lang w:val="en-US"/>
        </w:rPr>
        <w:t>e</w:t>
      </w:r>
      <w:r w:rsidRPr="00D45017">
        <w:rPr>
          <w:iCs/>
          <w:lang w:val="en-US"/>
        </w:rPr>
        <w:t xml:space="preserve">quitable </w:t>
      </w:r>
      <w:r>
        <w:rPr>
          <w:iCs/>
          <w:lang w:val="en-US"/>
        </w:rPr>
        <w:t>t</w:t>
      </w:r>
      <w:r w:rsidRPr="00D45017">
        <w:rPr>
          <w:iCs/>
          <w:lang w:val="en-US"/>
        </w:rPr>
        <w:t>reatment of Shareholders</w:t>
      </w:r>
      <w:r>
        <w:rPr>
          <w:iCs/>
          <w:lang w:val="en-US"/>
        </w:rPr>
        <w:t xml:space="preserve"> as follows;</w:t>
      </w:r>
    </w:p>
    <w:p w:rsidR="00EC3485" w:rsidRDefault="00EC3485">
      <w:pPr>
        <w:pStyle w:val="FootnoteText"/>
        <w:rPr>
          <w:lang w:val="en-US"/>
        </w:rPr>
      </w:pPr>
      <w:r>
        <w:rPr>
          <w:iCs/>
          <w:lang w:val="en-US"/>
        </w:rPr>
        <w:t>“</w:t>
      </w:r>
      <w:r w:rsidRPr="00D45017">
        <w:rPr>
          <w:lang w:val="en-US"/>
        </w:rPr>
        <w:t>The</w:t>
      </w:r>
      <w:r w:rsidRPr="00231839">
        <w:rPr>
          <w:lang w:val="en-US"/>
        </w:rPr>
        <w:t xml:space="preserve"> corporate governance framework should ensure the equitable treatment of all shareholders, including minority and foreign shareholders. All shareholders should have the opportunity to obtain effective redress for violation of their rights</w:t>
      </w:r>
      <w:r>
        <w:rPr>
          <w:lang w:val="en-US"/>
        </w:rPr>
        <w:t>.</w:t>
      </w:r>
    </w:p>
    <w:p w:rsidR="00EC3485" w:rsidRPr="00D45017" w:rsidRDefault="00EC3485" w:rsidP="00D45017">
      <w:pPr>
        <w:pStyle w:val="FootnoteText"/>
        <w:rPr>
          <w:lang w:val="en-US"/>
        </w:rPr>
      </w:pPr>
      <w:r w:rsidRPr="00D45017">
        <w:rPr>
          <w:b/>
          <w:lang w:val="en-US"/>
        </w:rPr>
        <w:t>A</w:t>
      </w:r>
      <w:r>
        <w:rPr>
          <w:lang w:val="en-US"/>
        </w:rPr>
        <w:t xml:space="preserve">. </w:t>
      </w:r>
      <w:r w:rsidRPr="00D45017">
        <w:rPr>
          <w:lang w:val="en-US"/>
        </w:rPr>
        <w:t>All shareholders of the same series of a class should be treated equally.</w:t>
      </w:r>
    </w:p>
    <w:p w:rsidR="00EC3485" w:rsidRPr="00D45017" w:rsidRDefault="00EC3485" w:rsidP="00D45017">
      <w:pPr>
        <w:pStyle w:val="FootnoteText"/>
        <w:ind w:left="720"/>
        <w:rPr>
          <w:lang w:val="en-US"/>
        </w:rPr>
      </w:pPr>
      <w:r w:rsidRPr="00D45017">
        <w:rPr>
          <w:lang w:val="en-US"/>
        </w:rPr>
        <w:t>1. Within any series of a class, all shares should carry the same rights. All</w:t>
      </w:r>
      <w:r>
        <w:rPr>
          <w:lang w:val="en-US"/>
        </w:rPr>
        <w:t xml:space="preserve"> </w:t>
      </w:r>
      <w:r w:rsidRPr="00D45017">
        <w:rPr>
          <w:lang w:val="en-US"/>
        </w:rPr>
        <w:t>investors should be able to obtain information about the rights attached to all</w:t>
      </w:r>
      <w:r>
        <w:rPr>
          <w:lang w:val="en-US"/>
        </w:rPr>
        <w:t xml:space="preserve"> </w:t>
      </w:r>
      <w:r w:rsidRPr="00D45017">
        <w:rPr>
          <w:lang w:val="en-US"/>
        </w:rPr>
        <w:t>series and classes of shares before they purchase. Any changes in voting rights</w:t>
      </w:r>
      <w:r>
        <w:rPr>
          <w:lang w:val="en-US"/>
        </w:rPr>
        <w:t xml:space="preserve"> </w:t>
      </w:r>
      <w:r w:rsidRPr="00D45017">
        <w:rPr>
          <w:lang w:val="en-US"/>
        </w:rPr>
        <w:t>should be subject to approval by those classes of shares which are negatively</w:t>
      </w:r>
      <w:r>
        <w:rPr>
          <w:lang w:val="en-US"/>
        </w:rPr>
        <w:t xml:space="preserve"> </w:t>
      </w:r>
      <w:r w:rsidRPr="00D45017">
        <w:rPr>
          <w:lang w:val="en-US"/>
        </w:rPr>
        <w:t>affected.</w:t>
      </w:r>
    </w:p>
    <w:p w:rsidR="00EC3485" w:rsidRPr="00D45017" w:rsidRDefault="00EC3485" w:rsidP="00D45017">
      <w:pPr>
        <w:pStyle w:val="FootnoteText"/>
        <w:ind w:left="720"/>
        <w:rPr>
          <w:lang w:val="en-US"/>
        </w:rPr>
      </w:pPr>
      <w:r w:rsidRPr="00D45017">
        <w:rPr>
          <w:lang w:val="en-US"/>
        </w:rPr>
        <w:t>2. Minority shareholders should be protected from abusive actions by, or in the</w:t>
      </w:r>
      <w:r>
        <w:rPr>
          <w:lang w:val="en-US"/>
        </w:rPr>
        <w:t xml:space="preserve"> </w:t>
      </w:r>
      <w:r w:rsidRPr="00D45017">
        <w:rPr>
          <w:lang w:val="en-US"/>
        </w:rPr>
        <w:t>interest of, controlling shareholders acting either directly or indirectly, and</w:t>
      </w:r>
      <w:r>
        <w:rPr>
          <w:lang w:val="en-US"/>
        </w:rPr>
        <w:t xml:space="preserve"> </w:t>
      </w:r>
      <w:r w:rsidRPr="00D45017">
        <w:rPr>
          <w:lang w:val="en-US"/>
        </w:rPr>
        <w:t>should have effective means of redress.</w:t>
      </w:r>
    </w:p>
    <w:p w:rsidR="00EC3485" w:rsidRPr="00D45017" w:rsidRDefault="00EC3485" w:rsidP="00D45017">
      <w:pPr>
        <w:pStyle w:val="FootnoteText"/>
        <w:ind w:left="720"/>
        <w:rPr>
          <w:lang w:val="en-US"/>
        </w:rPr>
      </w:pPr>
      <w:r w:rsidRPr="00D45017">
        <w:rPr>
          <w:lang w:val="en-US"/>
        </w:rPr>
        <w:t>3. Votes should be cast by custodians or nominees in a manner agreed upon with</w:t>
      </w:r>
      <w:r>
        <w:rPr>
          <w:lang w:val="en-US"/>
        </w:rPr>
        <w:t xml:space="preserve"> </w:t>
      </w:r>
      <w:r w:rsidRPr="00D45017">
        <w:rPr>
          <w:lang w:val="en-US"/>
        </w:rPr>
        <w:t>the beneficial owner of the shares.</w:t>
      </w:r>
    </w:p>
    <w:p w:rsidR="00EC3485" w:rsidRDefault="00EC3485" w:rsidP="00D45017">
      <w:pPr>
        <w:pStyle w:val="FootnoteText"/>
        <w:ind w:left="720"/>
        <w:rPr>
          <w:lang w:val="en-US"/>
        </w:rPr>
      </w:pPr>
      <w:r w:rsidRPr="00D45017">
        <w:rPr>
          <w:lang w:val="en-US"/>
        </w:rPr>
        <w:t>4. Impediments to cross border voting should be eliminated.</w:t>
      </w:r>
      <w:r>
        <w:rPr>
          <w:lang w:val="en-US"/>
        </w:rPr>
        <w:t xml:space="preserve"> </w:t>
      </w:r>
    </w:p>
    <w:p w:rsidR="00EC3485" w:rsidRPr="00D45017" w:rsidRDefault="00EC3485" w:rsidP="00D45017">
      <w:pPr>
        <w:pStyle w:val="FootnoteText"/>
        <w:ind w:left="720"/>
        <w:rPr>
          <w:lang w:val="en-US"/>
        </w:rPr>
      </w:pPr>
      <w:r w:rsidRPr="00D45017">
        <w:rPr>
          <w:lang w:val="en-US"/>
        </w:rPr>
        <w:t>5. Processes and procedures for general shareholder meetings should allow for</w:t>
      </w:r>
      <w:r>
        <w:rPr>
          <w:lang w:val="en-US"/>
        </w:rPr>
        <w:t xml:space="preserve"> </w:t>
      </w:r>
      <w:r w:rsidRPr="00D45017">
        <w:rPr>
          <w:lang w:val="en-US"/>
        </w:rPr>
        <w:t>equitable treatment of all shareholders. Company procedures should not make it</w:t>
      </w:r>
      <w:r>
        <w:rPr>
          <w:lang w:val="en-US"/>
        </w:rPr>
        <w:t xml:space="preserve"> </w:t>
      </w:r>
      <w:r w:rsidRPr="00D45017">
        <w:rPr>
          <w:lang w:val="en-US"/>
        </w:rPr>
        <w:t>unduly difficult or expensive to cast votes.</w:t>
      </w:r>
    </w:p>
    <w:p w:rsidR="00EC3485" w:rsidRPr="00D45017" w:rsidRDefault="00EC3485" w:rsidP="00D45017">
      <w:pPr>
        <w:pStyle w:val="FootnoteText"/>
        <w:rPr>
          <w:lang w:val="en-US"/>
        </w:rPr>
      </w:pPr>
      <w:r w:rsidRPr="00D45017">
        <w:rPr>
          <w:b/>
          <w:bCs/>
          <w:lang w:val="en-US"/>
        </w:rPr>
        <w:t xml:space="preserve">B. </w:t>
      </w:r>
      <w:r w:rsidRPr="00D45017">
        <w:rPr>
          <w:lang w:val="en-US"/>
        </w:rPr>
        <w:t>Insider trading and abusive self-dealing should be prohibited.</w:t>
      </w:r>
    </w:p>
    <w:p w:rsidR="00EC3485" w:rsidRPr="00231839" w:rsidRDefault="00EC3485" w:rsidP="00D45017">
      <w:pPr>
        <w:pStyle w:val="FootnoteText"/>
        <w:rPr>
          <w:lang w:val="en-US"/>
        </w:rPr>
      </w:pPr>
      <w:r w:rsidRPr="00D45017">
        <w:rPr>
          <w:b/>
          <w:bCs/>
          <w:lang w:val="en-US"/>
        </w:rPr>
        <w:t xml:space="preserve">C. </w:t>
      </w:r>
      <w:r w:rsidRPr="00D45017">
        <w:rPr>
          <w:lang w:val="en-US"/>
        </w:rPr>
        <w:t>Members of the board and key executives should be required to disclose to the</w:t>
      </w:r>
      <w:r>
        <w:rPr>
          <w:lang w:val="en-US"/>
        </w:rPr>
        <w:t xml:space="preserve"> </w:t>
      </w:r>
      <w:r w:rsidRPr="00D45017">
        <w:rPr>
          <w:lang w:val="en-US"/>
        </w:rPr>
        <w:t>board whether they, directly, indirectly or on behalf of third parties, have a material</w:t>
      </w:r>
      <w:r>
        <w:rPr>
          <w:lang w:val="en-US"/>
        </w:rPr>
        <w:t xml:space="preserve"> </w:t>
      </w:r>
      <w:r w:rsidRPr="00D45017">
        <w:rPr>
          <w:lang w:val="en-US"/>
        </w:rPr>
        <w:t>interest in any transaction or matter directly affecting the corporation</w:t>
      </w:r>
      <w:r>
        <w:rPr>
          <w:lang w:val="en-US"/>
        </w:rPr>
        <w:t>”</w:t>
      </w:r>
      <w:r w:rsidRPr="00D45017">
        <w:rPr>
          <w:lang w:val="en-US"/>
        </w:rPr>
        <w:t>.</w:t>
      </w:r>
    </w:p>
  </w:footnote>
  <w:footnote w:id="28">
    <w:p w:rsidR="00EC3485" w:rsidRPr="00361524" w:rsidRDefault="00EC3485" w:rsidP="00430C7D">
      <w:pPr>
        <w:pStyle w:val="FootnoteText"/>
        <w:rPr>
          <w:iCs/>
          <w:lang w:val="en-US"/>
        </w:rPr>
      </w:pPr>
      <w:r>
        <w:rPr>
          <w:rStyle w:val="FootnoteReference"/>
        </w:rPr>
        <w:footnoteRef/>
      </w:r>
      <w:r>
        <w:t xml:space="preserve"> The World Bank, Corporate Governance; </w:t>
      </w:r>
      <w:r w:rsidRPr="00430C7D">
        <w:rPr>
          <w:bCs/>
          <w:lang w:val="en-US"/>
        </w:rPr>
        <w:t>Held by the Visible Hand</w:t>
      </w:r>
      <w:r>
        <w:rPr>
          <w:b/>
          <w:bCs/>
          <w:lang w:val="en-US"/>
        </w:rPr>
        <w:t xml:space="preserve">, </w:t>
      </w:r>
      <w:r w:rsidRPr="00361524">
        <w:rPr>
          <w:iCs/>
          <w:lang w:val="en-US"/>
        </w:rPr>
        <w:t>The Challenge of SOE Corporate</w:t>
      </w:r>
    </w:p>
    <w:p w:rsidR="00EC3485" w:rsidRPr="00361524" w:rsidRDefault="00EC3485" w:rsidP="00430C7D">
      <w:pPr>
        <w:pStyle w:val="FootnoteText"/>
        <w:rPr>
          <w:lang w:val="en-US"/>
        </w:rPr>
      </w:pPr>
      <w:r w:rsidRPr="00361524">
        <w:rPr>
          <w:iCs/>
          <w:lang w:val="en-US"/>
        </w:rPr>
        <w:t>Governance for Emerging Markets</w:t>
      </w:r>
      <w:r>
        <w:rPr>
          <w:iCs/>
          <w:lang w:val="en-US"/>
        </w:rPr>
        <w:t xml:space="preserve"> (May 2006) available at</w:t>
      </w:r>
      <w:r w:rsidRPr="00361524">
        <w:t xml:space="preserve"> </w:t>
      </w:r>
      <w:hyperlink r:id="rId13" w:history="1">
        <w:r>
          <w:rPr>
            <w:rStyle w:val="Hyperlink"/>
          </w:rPr>
          <w:t>http://rru.worldbank.org/Documents/Other/CorpGovSOEs.pdf</w:t>
        </w:r>
      </w:hyperlink>
    </w:p>
  </w:footnote>
  <w:footnote w:id="29">
    <w:p w:rsidR="00EC3485" w:rsidRPr="001D0092" w:rsidRDefault="00EC3485" w:rsidP="001D0092">
      <w:pPr>
        <w:pStyle w:val="FootnoteText"/>
        <w:rPr>
          <w:lang w:val="en-US"/>
        </w:rPr>
      </w:pPr>
      <w:r>
        <w:rPr>
          <w:rStyle w:val="FootnoteReference"/>
        </w:rPr>
        <w:footnoteRef/>
      </w:r>
      <w:r>
        <w:t xml:space="preserve"> </w:t>
      </w:r>
      <w:r w:rsidRPr="001D0092">
        <w:rPr>
          <w:bCs/>
          <w:lang w:val="en-US"/>
        </w:rPr>
        <w:t>OECD Guidelines on Corporate Governance of State-owned Enterprises</w:t>
      </w:r>
      <w:r>
        <w:rPr>
          <w:bCs/>
          <w:lang w:val="en-US"/>
        </w:rPr>
        <w:t xml:space="preserve">, available at </w:t>
      </w:r>
      <w:hyperlink r:id="rId14" w:history="1">
        <w:r>
          <w:rPr>
            <w:rStyle w:val="Hyperlink"/>
          </w:rPr>
          <w:t>http://www.oecd.org/dataoecd/46/51/34803211.pdf</w:t>
        </w:r>
      </w:hyperlink>
      <w:r>
        <w:t>.</w:t>
      </w:r>
    </w:p>
  </w:footnote>
  <w:footnote w:id="30">
    <w:p w:rsidR="00EC3485" w:rsidRPr="001D0092" w:rsidRDefault="00EC3485" w:rsidP="001D0092">
      <w:pPr>
        <w:pStyle w:val="FootnoteText"/>
        <w:rPr>
          <w:bCs/>
          <w:i/>
          <w:iCs/>
          <w:lang w:val="en-US"/>
        </w:rPr>
      </w:pPr>
      <w:r w:rsidRPr="001D0092">
        <w:rPr>
          <w:rStyle w:val="FootnoteReference"/>
        </w:rPr>
        <w:footnoteRef/>
      </w:r>
      <w:r w:rsidRPr="001D0092">
        <w:t xml:space="preserve"> </w:t>
      </w:r>
      <w:r w:rsidRPr="001D0092">
        <w:rPr>
          <w:bCs/>
          <w:iCs/>
          <w:lang w:val="en-US"/>
        </w:rPr>
        <w:t>The state and state-owned enterprises should recognize the rights of all shareholders and in accordance with the OECD Principles of Corporate Governance ensure their equitable treatment and equal access to corporate information.</w:t>
      </w:r>
    </w:p>
    <w:p w:rsidR="00EC3485" w:rsidRPr="001D0092" w:rsidRDefault="00EC3485" w:rsidP="001D0092">
      <w:pPr>
        <w:pStyle w:val="FootnoteText"/>
        <w:ind w:left="720"/>
        <w:rPr>
          <w:lang w:val="en-US"/>
        </w:rPr>
      </w:pPr>
      <w:r w:rsidRPr="001D0092">
        <w:rPr>
          <w:bCs/>
          <w:lang w:val="en-US"/>
        </w:rPr>
        <w:t xml:space="preserve">A. </w:t>
      </w:r>
      <w:r w:rsidRPr="001D0092">
        <w:rPr>
          <w:lang w:val="en-US"/>
        </w:rPr>
        <w:t>The coordinating or ownership entity and SOEs should ensure that all shareholders are treated equitably.</w:t>
      </w:r>
    </w:p>
    <w:p w:rsidR="00EC3485" w:rsidRPr="001D0092" w:rsidRDefault="00EC3485" w:rsidP="001D0092">
      <w:pPr>
        <w:pStyle w:val="FootnoteText"/>
        <w:ind w:left="720"/>
        <w:rPr>
          <w:lang w:val="en-US"/>
        </w:rPr>
      </w:pPr>
      <w:r w:rsidRPr="001D0092">
        <w:rPr>
          <w:bCs/>
          <w:lang w:val="en-US"/>
        </w:rPr>
        <w:t>B</w:t>
      </w:r>
      <w:r w:rsidRPr="001D0092">
        <w:rPr>
          <w:lang w:val="en-US"/>
        </w:rPr>
        <w:t>. SOEs should observe a high degree of transparency towards all shareholders.</w:t>
      </w:r>
    </w:p>
    <w:p w:rsidR="00EC3485" w:rsidRPr="001D0092" w:rsidRDefault="00EC3485" w:rsidP="001D0092">
      <w:pPr>
        <w:pStyle w:val="FootnoteText"/>
        <w:ind w:left="720"/>
        <w:rPr>
          <w:lang w:val="en-US"/>
        </w:rPr>
      </w:pPr>
      <w:r w:rsidRPr="001D0092">
        <w:rPr>
          <w:bCs/>
          <w:lang w:val="en-US"/>
        </w:rPr>
        <w:t>C</w:t>
      </w:r>
      <w:r w:rsidRPr="001D0092">
        <w:rPr>
          <w:lang w:val="en-US"/>
        </w:rPr>
        <w:t>. SOEs should develop an active policy of communication and consultation with all shareholders.</w:t>
      </w:r>
    </w:p>
    <w:p w:rsidR="00EC3485" w:rsidRPr="001D0092" w:rsidRDefault="00EC3485" w:rsidP="001D0092">
      <w:pPr>
        <w:pStyle w:val="FootnoteText"/>
        <w:ind w:left="720"/>
        <w:rPr>
          <w:lang w:val="en-US"/>
        </w:rPr>
      </w:pPr>
      <w:r w:rsidRPr="001D0092">
        <w:rPr>
          <w:bCs/>
          <w:lang w:val="en-US"/>
        </w:rPr>
        <w:t>D</w:t>
      </w:r>
      <w:r w:rsidRPr="001D0092">
        <w:rPr>
          <w:lang w:val="en-US"/>
        </w:rPr>
        <w:t>. The participation of minority shareholders in shareholder meetings should be facilitated in order to allow them to take part in fundamental corporate decisions such as board election.</w:t>
      </w:r>
    </w:p>
  </w:footnote>
  <w:footnote w:id="31">
    <w:p w:rsidR="00EC3485" w:rsidRPr="005F45F5" w:rsidRDefault="00EC3485">
      <w:pPr>
        <w:pStyle w:val="FootnoteText"/>
        <w:rPr>
          <w:lang w:val="en-US"/>
        </w:rPr>
      </w:pPr>
      <w:r>
        <w:rPr>
          <w:rStyle w:val="FootnoteReference"/>
        </w:rPr>
        <w:footnoteRef/>
      </w:r>
      <w:r>
        <w:t xml:space="preserve"> During the controversy on the rights of the minority shareholders in Coal India when some minority shareholders had taken a view that was different from the view of the majority shareholder (Government), in an interview to Firstpost. Business, Shri Sripralash Jaiswal, Union Minister for Coal </w:t>
      </w:r>
      <w:r w:rsidRPr="00433F0A">
        <w:t xml:space="preserve">said </w:t>
      </w:r>
      <w:r w:rsidRPr="00433F0A">
        <w:rPr>
          <w:lang w:val="en-US"/>
        </w:rPr>
        <w:t xml:space="preserve"> </w:t>
      </w:r>
      <w:r w:rsidRPr="00433F0A">
        <w:t xml:space="preserve"> “Whoever wants to stay invested in CIL can stay </w:t>
      </w:r>
      <w:r>
        <w:t xml:space="preserve">or </w:t>
      </w:r>
      <w:r w:rsidRPr="00433F0A">
        <w:t>otherwise leave. Someone’s notice or threats will not bend the government. It is CIL’s job to make profit and to produce coal but only making profit is not its job till it remains with the government. If TCI wants to sell out, it will not affect our capital markets”</w:t>
      </w:r>
      <w:r w:rsidRPr="001A1969">
        <w:rPr>
          <w:i/>
        </w:rPr>
        <w:t xml:space="preserve"> </w:t>
      </w:r>
      <w:r>
        <w:t>- available at.</w:t>
      </w:r>
      <w:hyperlink r:id="rId15" w:history="1">
        <w:r>
          <w:rPr>
            <w:rStyle w:val="Hyperlink"/>
          </w:rPr>
          <w:t>http://www.firstpost.com/business/54-coal-blocks-to-be-auctioned-in-1-2-months-minister-261045.html</w:t>
        </w:r>
      </w:hyperlink>
    </w:p>
  </w:footnote>
  <w:footnote w:id="32">
    <w:p w:rsidR="00EC3485" w:rsidRPr="008E01FD" w:rsidRDefault="00EC3485" w:rsidP="008E01FD">
      <w:pPr>
        <w:pStyle w:val="FootnoteText"/>
        <w:rPr>
          <w:i/>
          <w:lang w:val="en-US"/>
        </w:rPr>
      </w:pPr>
      <w:r>
        <w:rPr>
          <w:rStyle w:val="FootnoteReference"/>
        </w:rPr>
        <w:footnoteRef/>
      </w:r>
      <w:r>
        <w:t xml:space="preserve"> </w:t>
      </w:r>
      <w:r w:rsidRPr="008E01FD">
        <w:rPr>
          <w:lang w:val="en-US"/>
        </w:rPr>
        <w:t>Andrea Colli, Bocconi</w:t>
      </w:r>
      <w:r>
        <w:rPr>
          <w:lang w:val="en-US"/>
        </w:rPr>
        <w:t>,</w:t>
      </w:r>
      <w:r w:rsidRPr="008E01FD">
        <w:rPr>
          <w:lang w:val="en-US"/>
        </w:rPr>
        <w:t xml:space="preserve"> University – Milan; Coping with the Leviathan. Minority shareholders in State-owned enterprises: evidence from Italy</w:t>
      </w:r>
      <w:r>
        <w:rPr>
          <w:lang w:val="en-US"/>
        </w:rPr>
        <w:t xml:space="preserve">;(2011) available at </w:t>
      </w:r>
      <w:hyperlink r:id="rId16" w:history="1">
        <w:r>
          <w:rPr>
            <w:rStyle w:val="Hyperlink"/>
          </w:rPr>
          <w:t>http://www.erim.eur.nl/portal/page/portal/ERIM/Content_Area/Documents/paper%20Andrea%20Colli.pdf</w:t>
        </w:r>
      </w:hyperlink>
    </w:p>
    <w:p w:rsidR="00EC3485" w:rsidRPr="000142FE" w:rsidRDefault="00EC3485">
      <w:pPr>
        <w:pStyle w:val="FootnoteText"/>
        <w:rPr>
          <w:lang w:val="en-US"/>
        </w:rPr>
      </w:pPr>
    </w:p>
  </w:footnote>
  <w:footnote w:id="33">
    <w:p w:rsidR="00EC3485" w:rsidRDefault="00EC3485" w:rsidP="00440098">
      <w:pPr>
        <w:pStyle w:val="FootnoteText"/>
        <w:rPr>
          <w:bCs/>
          <w:lang w:val="en-US"/>
        </w:rPr>
      </w:pPr>
      <w:r>
        <w:rPr>
          <w:rStyle w:val="FootnoteReference"/>
        </w:rPr>
        <w:footnoteRef/>
      </w:r>
      <w:r>
        <w:t xml:space="preserve"> </w:t>
      </w:r>
      <w:r w:rsidRPr="003D4542">
        <w:rPr>
          <w:rStyle w:val="searchword"/>
          <w:rFonts w:ascii="Arial" w:hAnsi="Arial" w:cs="Arial"/>
          <w:sz w:val="17"/>
          <w:szCs w:val="17"/>
        </w:rPr>
        <w:t>Shirley</w:t>
      </w:r>
      <w:r w:rsidRPr="003D4542">
        <w:rPr>
          <w:rFonts w:ascii="Arial" w:hAnsi="Arial" w:cs="Arial"/>
          <w:sz w:val="17"/>
          <w:szCs w:val="17"/>
        </w:rPr>
        <w:t>,</w:t>
      </w:r>
      <w:r w:rsidRPr="003D4542">
        <w:rPr>
          <w:rStyle w:val="apple-converted-space"/>
          <w:rFonts w:ascii="Arial" w:hAnsi="Arial" w:cs="Arial"/>
          <w:sz w:val="17"/>
          <w:szCs w:val="17"/>
        </w:rPr>
        <w:t> </w:t>
      </w:r>
      <w:r w:rsidRPr="003D4542">
        <w:rPr>
          <w:rStyle w:val="searchword"/>
          <w:rFonts w:ascii="Arial" w:hAnsi="Arial" w:cs="Arial"/>
          <w:sz w:val="17"/>
          <w:szCs w:val="17"/>
        </w:rPr>
        <w:t>Mary</w:t>
      </w:r>
      <w:r w:rsidRPr="003D4542">
        <w:rPr>
          <w:rStyle w:val="apple-converted-space"/>
          <w:rFonts w:ascii="Arial" w:hAnsi="Arial" w:cs="Arial"/>
          <w:sz w:val="17"/>
          <w:szCs w:val="17"/>
        </w:rPr>
        <w:t> </w:t>
      </w:r>
      <w:r w:rsidRPr="003D4542">
        <w:rPr>
          <w:rStyle w:val="searchword"/>
          <w:rFonts w:ascii="Arial" w:hAnsi="Arial" w:cs="Arial"/>
          <w:sz w:val="17"/>
          <w:szCs w:val="17"/>
        </w:rPr>
        <w:t>M.</w:t>
      </w:r>
      <w:r w:rsidRPr="003D4542">
        <w:rPr>
          <w:rStyle w:val="apple-converted-space"/>
          <w:rFonts w:ascii="Arial" w:hAnsi="Arial" w:cs="Arial"/>
          <w:sz w:val="17"/>
          <w:szCs w:val="17"/>
        </w:rPr>
        <w:t> </w:t>
      </w:r>
      <w:r w:rsidRPr="003D4542">
        <w:rPr>
          <w:rStyle w:val="searchword"/>
          <w:rFonts w:ascii="Arial" w:hAnsi="Arial" w:cs="Arial"/>
          <w:sz w:val="17"/>
          <w:szCs w:val="17"/>
        </w:rPr>
        <w:t>and</w:t>
      </w:r>
      <w:r w:rsidRPr="003D4542">
        <w:rPr>
          <w:rStyle w:val="apple-converted-space"/>
          <w:rFonts w:ascii="Arial" w:hAnsi="Arial" w:cs="Arial"/>
          <w:sz w:val="17"/>
          <w:szCs w:val="17"/>
        </w:rPr>
        <w:t> </w:t>
      </w:r>
      <w:r w:rsidRPr="003D4542">
        <w:rPr>
          <w:rStyle w:val="searchword"/>
          <w:rFonts w:ascii="Arial" w:hAnsi="Arial" w:cs="Arial"/>
          <w:sz w:val="17"/>
          <w:szCs w:val="17"/>
        </w:rPr>
        <w:t>Walsh</w:t>
      </w:r>
      <w:r w:rsidRPr="003D4542">
        <w:rPr>
          <w:rFonts w:ascii="Arial" w:hAnsi="Arial" w:cs="Arial"/>
          <w:sz w:val="17"/>
          <w:szCs w:val="17"/>
        </w:rPr>
        <w:t>,</w:t>
      </w:r>
      <w:r w:rsidRPr="003D4542">
        <w:rPr>
          <w:rStyle w:val="apple-converted-space"/>
          <w:rFonts w:ascii="Arial" w:hAnsi="Arial" w:cs="Arial"/>
          <w:sz w:val="17"/>
          <w:szCs w:val="17"/>
        </w:rPr>
        <w:t> </w:t>
      </w:r>
      <w:r w:rsidRPr="003D4542">
        <w:rPr>
          <w:rStyle w:val="searchword"/>
          <w:rFonts w:ascii="Arial" w:hAnsi="Arial" w:cs="Arial"/>
          <w:sz w:val="17"/>
          <w:szCs w:val="17"/>
        </w:rPr>
        <w:t>Patrick</w:t>
      </w:r>
      <w:r w:rsidRPr="003D4542">
        <w:rPr>
          <w:rStyle w:val="apple-converted-space"/>
          <w:rFonts w:ascii="Arial" w:hAnsi="Arial" w:cs="Arial"/>
          <w:sz w:val="17"/>
          <w:szCs w:val="17"/>
        </w:rPr>
        <w:t> </w:t>
      </w:r>
      <w:r w:rsidRPr="003D4542">
        <w:rPr>
          <w:rFonts w:ascii="Arial" w:hAnsi="Arial" w:cs="Arial"/>
          <w:sz w:val="17"/>
          <w:szCs w:val="17"/>
        </w:rPr>
        <w:t>Maurice,</w:t>
      </w:r>
      <w:r w:rsidRPr="003D4542">
        <w:rPr>
          <w:rStyle w:val="apple-converted-space"/>
          <w:rFonts w:ascii="Arial" w:hAnsi="Arial" w:cs="Arial"/>
          <w:sz w:val="17"/>
          <w:szCs w:val="17"/>
        </w:rPr>
        <w:t> </w:t>
      </w:r>
      <w:r w:rsidRPr="003D4542">
        <w:rPr>
          <w:rStyle w:val="searchword"/>
          <w:rFonts w:ascii="Arial" w:hAnsi="Arial" w:cs="Arial"/>
          <w:sz w:val="17"/>
          <w:szCs w:val="17"/>
        </w:rPr>
        <w:t>Public</w:t>
      </w:r>
      <w:r w:rsidRPr="003D4542">
        <w:rPr>
          <w:rStyle w:val="apple-converted-space"/>
          <w:rFonts w:ascii="Arial" w:hAnsi="Arial" w:cs="Arial"/>
          <w:sz w:val="17"/>
          <w:szCs w:val="17"/>
        </w:rPr>
        <w:t> </w:t>
      </w:r>
      <w:r w:rsidRPr="003D4542">
        <w:rPr>
          <w:rFonts w:ascii="Arial" w:hAnsi="Arial" w:cs="Arial"/>
          <w:sz w:val="17"/>
          <w:szCs w:val="17"/>
        </w:rPr>
        <w:t>vs.</w:t>
      </w:r>
      <w:r w:rsidRPr="003D4542">
        <w:rPr>
          <w:rStyle w:val="apple-converted-space"/>
          <w:rFonts w:ascii="Arial" w:hAnsi="Arial" w:cs="Arial"/>
          <w:sz w:val="17"/>
          <w:szCs w:val="17"/>
        </w:rPr>
        <w:t> </w:t>
      </w:r>
      <w:r w:rsidRPr="003D4542">
        <w:rPr>
          <w:rStyle w:val="searchword"/>
          <w:rFonts w:ascii="Arial" w:hAnsi="Arial" w:cs="Arial"/>
          <w:sz w:val="17"/>
          <w:szCs w:val="17"/>
        </w:rPr>
        <w:t>Private</w:t>
      </w:r>
      <w:r w:rsidRPr="003D4542">
        <w:rPr>
          <w:rStyle w:val="apple-converted-space"/>
          <w:rFonts w:ascii="Arial" w:hAnsi="Arial" w:cs="Arial"/>
          <w:sz w:val="17"/>
          <w:szCs w:val="17"/>
        </w:rPr>
        <w:t> </w:t>
      </w:r>
      <w:r w:rsidRPr="003D4542">
        <w:rPr>
          <w:rStyle w:val="searchword"/>
          <w:rFonts w:ascii="Arial" w:hAnsi="Arial" w:cs="Arial"/>
          <w:sz w:val="17"/>
          <w:szCs w:val="17"/>
        </w:rPr>
        <w:t>Ownership:</w:t>
      </w:r>
      <w:r w:rsidRPr="003D4542">
        <w:rPr>
          <w:rStyle w:val="apple-converted-space"/>
          <w:rFonts w:ascii="Arial" w:hAnsi="Arial" w:cs="Arial"/>
          <w:sz w:val="17"/>
          <w:szCs w:val="17"/>
        </w:rPr>
        <w:t> </w:t>
      </w:r>
      <w:r w:rsidRPr="003D4542">
        <w:rPr>
          <w:rStyle w:val="searchword"/>
          <w:rFonts w:ascii="Arial" w:hAnsi="Arial" w:cs="Arial"/>
          <w:sz w:val="17"/>
          <w:szCs w:val="17"/>
        </w:rPr>
        <w:t>The</w:t>
      </w:r>
      <w:r w:rsidRPr="003D4542">
        <w:rPr>
          <w:rStyle w:val="apple-converted-space"/>
          <w:rFonts w:ascii="Arial" w:hAnsi="Arial" w:cs="Arial"/>
          <w:sz w:val="17"/>
          <w:szCs w:val="17"/>
        </w:rPr>
        <w:t> </w:t>
      </w:r>
      <w:r w:rsidRPr="003D4542">
        <w:rPr>
          <w:rStyle w:val="searchword"/>
          <w:rFonts w:ascii="Arial" w:hAnsi="Arial" w:cs="Arial"/>
          <w:sz w:val="17"/>
          <w:szCs w:val="17"/>
        </w:rPr>
        <w:t>Current</w:t>
      </w:r>
      <w:r w:rsidRPr="003D4542">
        <w:rPr>
          <w:rStyle w:val="apple-converted-space"/>
          <w:rFonts w:ascii="Arial" w:hAnsi="Arial" w:cs="Arial"/>
          <w:sz w:val="17"/>
          <w:szCs w:val="17"/>
        </w:rPr>
        <w:t> </w:t>
      </w:r>
      <w:r w:rsidRPr="003D4542">
        <w:rPr>
          <w:rStyle w:val="searchword"/>
          <w:rFonts w:ascii="Arial" w:hAnsi="Arial" w:cs="Arial"/>
          <w:sz w:val="17"/>
          <w:szCs w:val="17"/>
        </w:rPr>
        <w:t>State</w:t>
      </w:r>
      <w:r w:rsidRPr="003D4542">
        <w:rPr>
          <w:rStyle w:val="apple-converted-space"/>
          <w:rFonts w:ascii="Arial" w:hAnsi="Arial" w:cs="Arial"/>
          <w:sz w:val="17"/>
          <w:szCs w:val="17"/>
        </w:rPr>
        <w:t> </w:t>
      </w:r>
      <w:r w:rsidRPr="003D4542">
        <w:rPr>
          <w:rStyle w:val="searchword"/>
          <w:rFonts w:ascii="Arial" w:hAnsi="Arial" w:cs="Arial"/>
          <w:sz w:val="17"/>
          <w:szCs w:val="17"/>
        </w:rPr>
        <w:t>of</w:t>
      </w:r>
      <w:r w:rsidRPr="003D4542">
        <w:rPr>
          <w:rStyle w:val="apple-converted-space"/>
          <w:rFonts w:ascii="Arial" w:hAnsi="Arial" w:cs="Arial"/>
          <w:sz w:val="17"/>
          <w:szCs w:val="17"/>
        </w:rPr>
        <w:t> </w:t>
      </w:r>
      <w:r w:rsidRPr="003D4542">
        <w:rPr>
          <w:rStyle w:val="searchword"/>
          <w:rFonts w:ascii="Arial" w:hAnsi="Arial" w:cs="Arial"/>
          <w:sz w:val="17"/>
          <w:szCs w:val="17"/>
        </w:rPr>
        <w:t>the</w:t>
      </w:r>
      <w:r w:rsidRPr="003D4542">
        <w:rPr>
          <w:rStyle w:val="apple-converted-space"/>
          <w:rFonts w:ascii="Arial" w:hAnsi="Arial" w:cs="Arial"/>
          <w:sz w:val="17"/>
          <w:szCs w:val="17"/>
        </w:rPr>
        <w:t> </w:t>
      </w:r>
      <w:r w:rsidRPr="003D4542">
        <w:rPr>
          <w:rStyle w:val="searchword"/>
          <w:rFonts w:ascii="Arial" w:hAnsi="Arial" w:cs="Arial"/>
          <w:sz w:val="17"/>
          <w:szCs w:val="17"/>
        </w:rPr>
        <w:t>Debate</w:t>
      </w:r>
      <w:r w:rsidRPr="003D4542">
        <w:rPr>
          <w:rFonts w:ascii="Arial" w:hAnsi="Arial" w:cs="Arial"/>
          <w:sz w:val="17"/>
          <w:szCs w:val="17"/>
        </w:rPr>
        <w:t xml:space="preserve"> (January 2001). World Bank Policy Research Working Paper No. 2420</w:t>
      </w:r>
      <w:r>
        <w:rPr>
          <w:rFonts w:ascii="Arial" w:hAnsi="Arial" w:cs="Arial"/>
          <w:sz w:val="17"/>
          <w:szCs w:val="17"/>
        </w:rPr>
        <w:t>; a</w:t>
      </w:r>
      <w:r w:rsidRPr="003D4542">
        <w:rPr>
          <w:rFonts w:ascii="Arial" w:hAnsi="Arial" w:cs="Arial"/>
          <w:sz w:val="17"/>
          <w:szCs w:val="17"/>
        </w:rPr>
        <w:t>vailable at SSRN: http://ssrn.com/abstract=26185</w:t>
      </w:r>
      <w:r>
        <w:rPr>
          <w:rFonts w:ascii="Arial" w:hAnsi="Arial" w:cs="Arial"/>
          <w:color w:val="003366"/>
          <w:sz w:val="17"/>
          <w:szCs w:val="17"/>
          <w:shd w:val="clear" w:color="auto" w:fill="F2F2F2"/>
        </w:rPr>
        <w:t>.</w:t>
      </w:r>
      <w:r w:rsidRPr="003D4542">
        <w:rPr>
          <w:bCs/>
          <w:lang w:val="en-US"/>
        </w:rPr>
        <w:t xml:space="preserve"> </w:t>
      </w:r>
    </w:p>
    <w:p w:rsidR="00EC3485" w:rsidRPr="003D4542" w:rsidRDefault="00EC3485" w:rsidP="00440098">
      <w:pPr>
        <w:pStyle w:val="FootnoteText"/>
        <w:rPr>
          <w:lang w:val="en-US"/>
        </w:rPr>
      </w:pPr>
      <w:r w:rsidRPr="003D4542">
        <w:rPr>
          <w:bCs/>
          <w:lang w:val="en-US"/>
        </w:rPr>
        <w:t>O</w:t>
      </w:r>
      <w:r w:rsidRPr="003D4542">
        <w:rPr>
          <w:rFonts w:eastAsiaTheme="minorHAnsi" w:cstheme="minorHAnsi"/>
          <w:lang w:val="en-US" w:eastAsia="en-US"/>
        </w:rPr>
        <w:t xml:space="preserve">f the 52 studies reviewed in this study, the performance of private </w:t>
      </w:r>
      <w:r w:rsidRPr="003D4542">
        <w:rPr>
          <w:rFonts w:eastAsiaTheme="minorHAnsi" w:cstheme="minorHAnsi"/>
          <w:iCs/>
          <w:lang w:val="en-US" w:eastAsia="en-US"/>
        </w:rPr>
        <w:t xml:space="preserve">and </w:t>
      </w:r>
      <w:r w:rsidRPr="003D4542">
        <w:rPr>
          <w:rFonts w:eastAsiaTheme="minorHAnsi" w:cstheme="minorHAnsi"/>
          <w:lang w:val="en-US" w:eastAsia="en-US"/>
        </w:rPr>
        <w:t>privatized firms in 30 studies was significantly superior to that of public firms. 15 studies f</w:t>
      </w:r>
      <w:r>
        <w:rPr>
          <w:rFonts w:eastAsiaTheme="minorHAnsi" w:cstheme="minorHAnsi"/>
          <w:lang w:val="en-US" w:eastAsia="en-US"/>
        </w:rPr>
        <w:t>ound</w:t>
      </w:r>
      <w:r w:rsidRPr="003D4542">
        <w:rPr>
          <w:rFonts w:eastAsiaTheme="minorHAnsi" w:cstheme="minorHAnsi"/>
          <w:lang w:val="en-US" w:eastAsia="en-US"/>
        </w:rPr>
        <w:t xml:space="preserve"> either that there </w:t>
      </w:r>
      <w:r>
        <w:rPr>
          <w:rFonts w:eastAsiaTheme="minorHAnsi" w:cstheme="minorHAnsi"/>
          <w:lang w:val="en-US" w:eastAsia="en-US"/>
        </w:rPr>
        <w:t>wa</w:t>
      </w:r>
      <w:r w:rsidRPr="003D4542">
        <w:rPr>
          <w:rFonts w:eastAsiaTheme="minorHAnsi" w:cstheme="minorHAnsi"/>
          <w:lang w:val="en-US" w:eastAsia="en-US"/>
        </w:rPr>
        <w:t xml:space="preserve">s no significant relationship between ownership and performance, or that the relationship </w:t>
      </w:r>
      <w:r>
        <w:rPr>
          <w:rFonts w:eastAsiaTheme="minorHAnsi" w:cstheme="minorHAnsi"/>
          <w:lang w:val="en-US" w:eastAsia="en-US"/>
        </w:rPr>
        <w:t>wa</w:t>
      </w:r>
      <w:r w:rsidRPr="003D4542">
        <w:rPr>
          <w:rFonts w:eastAsiaTheme="minorHAnsi" w:cstheme="minorHAnsi"/>
          <w:lang w:val="en-US" w:eastAsia="en-US"/>
        </w:rPr>
        <w:t>s ambiguous (different evidence supports both public and private superiority). Five studies conclude</w:t>
      </w:r>
      <w:r>
        <w:rPr>
          <w:rFonts w:eastAsiaTheme="minorHAnsi" w:cstheme="minorHAnsi"/>
          <w:lang w:val="en-US" w:eastAsia="en-US"/>
        </w:rPr>
        <w:t>d</w:t>
      </w:r>
      <w:r w:rsidRPr="003D4542">
        <w:rPr>
          <w:rFonts w:eastAsiaTheme="minorHAnsi" w:cstheme="minorHAnsi"/>
          <w:lang w:val="en-US" w:eastAsia="en-US"/>
        </w:rPr>
        <w:t xml:space="preserve"> that publicly-owned firms perform</w:t>
      </w:r>
      <w:r>
        <w:rPr>
          <w:rFonts w:eastAsiaTheme="minorHAnsi" w:cstheme="minorHAnsi"/>
          <w:lang w:val="en-US" w:eastAsia="en-US"/>
        </w:rPr>
        <w:t>ed</w:t>
      </w:r>
      <w:r w:rsidRPr="003D4542">
        <w:rPr>
          <w:rFonts w:eastAsiaTheme="minorHAnsi" w:cstheme="minorHAnsi"/>
          <w:lang w:val="en-US" w:eastAsia="en-US"/>
        </w:rPr>
        <w:t xml:space="preserve"> better than private firms.</w:t>
      </w:r>
    </w:p>
  </w:footnote>
  <w:footnote w:id="34">
    <w:p w:rsidR="00EC3485" w:rsidRDefault="00EC3485">
      <w:pPr>
        <w:pStyle w:val="FootnoteText"/>
      </w:pPr>
      <w:r>
        <w:rPr>
          <w:rStyle w:val="FootnoteReference"/>
        </w:rPr>
        <w:footnoteRef/>
      </w:r>
      <w:r>
        <w:t xml:space="preserve"> </w:t>
      </w:r>
      <w:r w:rsidRPr="003D4542">
        <w:t xml:space="preserve">Supra. Refer Note No. 8, </w:t>
      </w:r>
    </w:p>
    <w:p w:rsidR="00EC3485" w:rsidRPr="006B3212" w:rsidRDefault="00EC3485">
      <w:pPr>
        <w:pStyle w:val="FootnoteText"/>
        <w:rPr>
          <w:lang w:val="en-US"/>
        </w:rPr>
      </w:pPr>
      <w:r w:rsidRPr="003D4542">
        <w:rPr>
          <w:lang w:val="en-US"/>
        </w:rPr>
        <w:t xml:space="preserve">Bortolotti &amp; Faccio’s large sample study over OECD countries found that, contrary to accepted theory, greater government control over privatized firms does not negatively affect market valuation and, in fact, government stakes were positively and significantly related to peer-adjusted market-to-book ratios. </w:t>
      </w:r>
      <w:r>
        <w:rPr>
          <w:lang w:val="en-US"/>
        </w:rPr>
        <w:t>I</w:t>
      </w:r>
      <w:r w:rsidRPr="003D4542">
        <w:rPr>
          <w:lang w:val="en-US"/>
        </w:rPr>
        <w:t>t appear</w:t>
      </w:r>
      <w:r>
        <w:rPr>
          <w:lang w:val="en-US"/>
        </w:rPr>
        <w:t>ed</w:t>
      </w:r>
      <w:r w:rsidRPr="003D4542">
        <w:rPr>
          <w:lang w:val="en-US"/>
        </w:rPr>
        <w:t xml:space="preserve"> that the relationship documented reflect</w:t>
      </w:r>
      <w:r>
        <w:rPr>
          <w:lang w:val="en-US"/>
        </w:rPr>
        <w:t>ed</w:t>
      </w:r>
      <w:r w:rsidRPr="003D4542">
        <w:rPr>
          <w:lang w:val="en-US"/>
        </w:rPr>
        <w:t xml:space="preserve"> more frequent financial aid (bailouts) accruing to privatized firms that remain under government control</w:t>
      </w:r>
      <w:r>
        <w:rPr>
          <w:lang w:val="en-US"/>
        </w:rPr>
        <w:t xml:space="preserve"> than to other firms.</w:t>
      </w:r>
      <w:r w:rsidRPr="003D4542">
        <w:rPr>
          <w:lang w:val="en-US"/>
        </w:rPr>
        <w:t>.</w:t>
      </w:r>
    </w:p>
  </w:footnote>
  <w:footnote w:id="35">
    <w:p w:rsidR="00EC3485" w:rsidRPr="00FE1562" w:rsidRDefault="00EC3485">
      <w:pPr>
        <w:pStyle w:val="FootnoteText"/>
        <w:rPr>
          <w:lang w:val="en-US"/>
        </w:rPr>
      </w:pPr>
      <w:r>
        <w:rPr>
          <w:rStyle w:val="FootnoteReference"/>
        </w:rPr>
        <w:footnoteRef/>
      </w:r>
      <w:r>
        <w:t xml:space="preserve"> </w:t>
      </w:r>
      <w:r w:rsidRPr="003D4542">
        <w:rPr>
          <w:lang w:val="en-US"/>
        </w:rPr>
        <w:t>Venky Nagar, Kathy Petroni, and Daniel Wolfenzon</w:t>
      </w:r>
      <w:r>
        <w:rPr>
          <w:lang w:val="en-US"/>
        </w:rPr>
        <w:t>,</w:t>
      </w:r>
      <w:r w:rsidRPr="00FE1562">
        <w:rPr>
          <w:rFonts w:ascii="Helvetica" w:eastAsiaTheme="minorHAnsi" w:hAnsi="Helvetica" w:cs="Helvetica"/>
          <w:color w:val="231F20"/>
          <w:sz w:val="31"/>
          <w:szCs w:val="31"/>
          <w:lang w:val="en-US" w:eastAsia="en-US"/>
        </w:rPr>
        <w:t xml:space="preserve"> </w:t>
      </w:r>
      <w:r w:rsidRPr="00FE1562">
        <w:rPr>
          <w:lang w:val="en-US"/>
        </w:rPr>
        <w:t>Governance Problems in Closely Held</w:t>
      </w:r>
      <w:r>
        <w:rPr>
          <w:lang w:val="en-US"/>
        </w:rPr>
        <w:t xml:space="preserve"> </w:t>
      </w:r>
      <w:r w:rsidRPr="00FE1562">
        <w:rPr>
          <w:lang w:val="en-US"/>
        </w:rPr>
        <w:t>Corporations</w:t>
      </w:r>
      <w:r>
        <w:rPr>
          <w:lang w:val="en-US"/>
        </w:rPr>
        <w:t>,(</w:t>
      </w:r>
      <w:r w:rsidRPr="00FE1562">
        <w:rPr>
          <w:rFonts w:ascii="TeX-Helvetica-Light" w:eastAsiaTheme="minorHAnsi" w:hAnsi="TeX-Helvetica-Light" w:cs="TeX-Helvetica-Light"/>
          <w:color w:val="231F20"/>
          <w:sz w:val="14"/>
          <w:szCs w:val="14"/>
          <w:lang w:val="en-US" w:eastAsia="en-US"/>
        </w:rPr>
        <w:t xml:space="preserve"> </w:t>
      </w:r>
      <w:r w:rsidRPr="00FE1562">
        <w:rPr>
          <w:lang w:val="en-US"/>
        </w:rPr>
        <w:t>Vol. 46, No. 4, Aug. 2011</w:t>
      </w:r>
      <w:r>
        <w:rPr>
          <w:lang w:val="en-US"/>
        </w:rPr>
        <w:t xml:space="preserve"> )  </w:t>
      </w:r>
      <w:r w:rsidRPr="00FE1562">
        <w:rPr>
          <w:lang w:val="en-US"/>
        </w:rPr>
        <w:t>J</w:t>
      </w:r>
      <w:r>
        <w:rPr>
          <w:lang w:val="en-US"/>
        </w:rPr>
        <w:t>ournal of Financial and Quantitative Analysis</w:t>
      </w:r>
    </w:p>
  </w:footnote>
  <w:footnote w:id="36">
    <w:p w:rsidR="00EC3485" w:rsidRPr="00C56E33" w:rsidRDefault="00EC3485">
      <w:pPr>
        <w:pStyle w:val="FootnoteText"/>
        <w:rPr>
          <w:lang w:val="en-US"/>
        </w:rPr>
      </w:pPr>
      <w:r>
        <w:rPr>
          <w:rStyle w:val="FootnoteReference"/>
        </w:rPr>
        <w:footnoteRef/>
      </w:r>
      <w:r>
        <w:t xml:space="preserve"> Id.</w:t>
      </w:r>
    </w:p>
  </w:footnote>
  <w:footnote w:id="37">
    <w:p w:rsidR="00EC3485" w:rsidRDefault="00EC3485" w:rsidP="009F6344">
      <w:pPr>
        <w:pStyle w:val="FootnoteText"/>
        <w:rPr>
          <w:lang w:val="en-US"/>
        </w:rPr>
      </w:pPr>
      <w:r>
        <w:rPr>
          <w:rStyle w:val="FootnoteReference"/>
        </w:rPr>
        <w:footnoteRef/>
      </w:r>
      <w:r w:rsidRPr="009F6344">
        <w:rPr>
          <w:lang w:val="en-US"/>
        </w:rPr>
        <w:t>CE</w:t>
      </w:r>
      <w:r>
        <w:rPr>
          <w:lang w:val="en-US"/>
        </w:rPr>
        <w:t xml:space="preserve"> </w:t>
      </w:r>
      <w:r w:rsidRPr="009F6344">
        <w:rPr>
          <w:lang w:val="en-US"/>
        </w:rPr>
        <w:t>Sifo DICE Report</w:t>
      </w:r>
      <w:r>
        <w:rPr>
          <w:lang w:val="en-US"/>
        </w:rPr>
        <w:t xml:space="preserve"> ;(</w:t>
      </w:r>
      <w:r w:rsidRPr="009F6344">
        <w:rPr>
          <w:lang w:val="en-US"/>
        </w:rPr>
        <w:t xml:space="preserve"> 2007</w:t>
      </w:r>
      <w:r>
        <w:rPr>
          <w:lang w:val="en-US"/>
        </w:rPr>
        <w:t>);</w:t>
      </w:r>
      <w:r w:rsidRPr="00FE1562">
        <w:rPr>
          <w:lang w:val="en-US"/>
        </w:rPr>
        <w:t xml:space="preserve"> Corporate Governance: Relationship of State owned Enterprises with other Shareholders</w:t>
      </w:r>
      <w:r>
        <w:rPr>
          <w:lang w:val="en-US"/>
        </w:rPr>
        <w:t>;</w:t>
      </w:r>
      <w:r w:rsidRPr="009F6344">
        <w:rPr>
          <w:rFonts w:ascii="TimesTen-Roman" w:eastAsia="TimesTen-Roman" w:cs="TimesTen-Roman"/>
          <w:color w:val="383A3B"/>
          <w:sz w:val="14"/>
          <w:szCs w:val="14"/>
          <w:lang w:val="en-US" w:eastAsia="en-US"/>
        </w:rPr>
        <w:t xml:space="preserve"> </w:t>
      </w:r>
      <w:r w:rsidRPr="009F6344">
        <w:rPr>
          <w:lang w:val="en-US"/>
        </w:rPr>
        <w:t xml:space="preserve">originally published as chapter 3 of </w:t>
      </w:r>
      <w:r w:rsidRPr="009F6344">
        <w:rPr>
          <w:rFonts w:hint="eastAsia"/>
          <w:lang w:val="en-US"/>
        </w:rPr>
        <w:t>“</w:t>
      </w:r>
      <w:r w:rsidRPr="009F6344">
        <w:rPr>
          <w:lang w:val="en-US"/>
        </w:rPr>
        <w:t>Corporate Governance of</w:t>
      </w:r>
      <w:r>
        <w:rPr>
          <w:lang w:val="en-US"/>
        </w:rPr>
        <w:t xml:space="preserve"> </w:t>
      </w:r>
      <w:r w:rsidRPr="009F6344">
        <w:rPr>
          <w:lang w:val="en-US"/>
        </w:rPr>
        <w:t xml:space="preserve">State-Owned Enterprises </w:t>
      </w:r>
      <w:r w:rsidRPr="009F6344">
        <w:rPr>
          <w:rFonts w:hint="eastAsia"/>
          <w:lang w:val="en-US"/>
        </w:rPr>
        <w:t>–</w:t>
      </w:r>
      <w:r w:rsidRPr="009F6344">
        <w:rPr>
          <w:lang w:val="en-US"/>
        </w:rPr>
        <w:t xml:space="preserve"> A Survey of OECD Countries</w:t>
      </w:r>
      <w:r w:rsidRPr="009F6344">
        <w:rPr>
          <w:rFonts w:hint="eastAsia"/>
          <w:lang w:val="en-US"/>
        </w:rPr>
        <w:t>”</w:t>
      </w:r>
      <w:r w:rsidRPr="009F6344">
        <w:rPr>
          <w:lang w:val="en-US"/>
        </w:rPr>
        <w:t xml:space="preserve"> (ISBN</w:t>
      </w:r>
      <w:r>
        <w:rPr>
          <w:lang w:val="en-US"/>
        </w:rPr>
        <w:t xml:space="preserve"> </w:t>
      </w:r>
      <w:r w:rsidRPr="009F6344">
        <w:rPr>
          <w:lang w:val="en-US"/>
        </w:rPr>
        <w:t>92-64-00942-6; c OECD 2005).</w:t>
      </w:r>
    </w:p>
    <w:p w:rsidR="00EC3485" w:rsidRPr="007579A7" w:rsidRDefault="00EC3485" w:rsidP="009F6344">
      <w:pPr>
        <w:pStyle w:val="FootnoteText"/>
        <w:rPr>
          <w:lang w:val="en-US"/>
        </w:rPr>
      </w:pPr>
      <w:r>
        <w:rPr>
          <w:lang w:val="en-US"/>
        </w:rPr>
        <w:t xml:space="preserve">  available at </w:t>
      </w:r>
      <w:hyperlink r:id="rId17" w:history="1">
        <w:r w:rsidRPr="00CD3F1E">
          <w:rPr>
            <w:rStyle w:val="Hyperlink"/>
          </w:rPr>
          <w:t>http://www.cesifo-group.de/portal/pls/portal/docs/1/1193170.PDF</w:t>
        </w:r>
      </w:hyperlink>
    </w:p>
  </w:footnote>
  <w:footnote w:id="38">
    <w:p w:rsidR="00EC3485" w:rsidRDefault="00EC3485" w:rsidP="00C61E50">
      <w:pPr>
        <w:autoSpaceDE w:val="0"/>
        <w:autoSpaceDN w:val="0"/>
        <w:adjustRightInd w:val="0"/>
        <w:spacing w:after="0" w:line="240" w:lineRule="auto"/>
        <w:rPr>
          <w:bCs/>
          <w:lang w:val="en-US"/>
        </w:rPr>
      </w:pPr>
      <w:r>
        <w:rPr>
          <w:rStyle w:val="FootnoteReference"/>
        </w:rPr>
        <w:footnoteRef/>
      </w:r>
      <w:r>
        <w:t xml:space="preserve"> Id. </w:t>
      </w:r>
      <w:r w:rsidRPr="008E03EA">
        <w:rPr>
          <w:bCs/>
          <w:sz w:val="20"/>
          <w:szCs w:val="20"/>
          <w:lang w:val="en-US"/>
        </w:rPr>
        <w:t>For example in Turkey, if private shareholders control 20 percent of the shares, they may appoint one board member (at 40 percent they can appoint two). In Vietnam, minority shareholders are represented on the board through cumulative voting. They are encouraged to participate in the general shareholder’s meeting and have certain guarantees to share in the profits of the SOE.</w:t>
      </w:r>
    </w:p>
    <w:p w:rsidR="00EC3485" w:rsidRPr="00C61E50" w:rsidRDefault="00EC3485">
      <w:pPr>
        <w:pStyle w:val="FootnoteText"/>
        <w:rPr>
          <w:lang w:val="en-US"/>
        </w:rPr>
      </w:pPr>
    </w:p>
  </w:footnote>
  <w:footnote w:id="39">
    <w:p w:rsidR="00EC3485" w:rsidRPr="008E03EA" w:rsidRDefault="00EC3485">
      <w:pPr>
        <w:pStyle w:val="FootnoteText"/>
        <w:rPr>
          <w:lang w:val="en-US"/>
        </w:rPr>
      </w:pPr>
      <w:r>
        <w:rPr>
          <w:rStyle w:val="FootnoteReference"/>
        </w:rPr>
        <w:footnoteRef/>
      </w:r>
      <w:r>
        <w:t xml:space="preserve"> Id.</w:t>
      </w:r>
      <w:r w:rsidRPr="00C61E50">
        <w:rPr>
          <w:rFonts w:eastAsiaTheme="minorHAnsi" w:cstheme="minorHAnsi"/>
          <w:bCs/>
          <w:lang w:val="en-US" w:eastAsia="en-US"/>
        </w:rPr>
        <w:t xml:space="preserve">In several landmark decisions of 2002 and 2003 against </w:t>
      </w:r>
      <w:r w:rsidRPr="00C61E50">
        <w:rPr>
          <w:rFonts w:eastAsiaTheme="minorHAnsi" w:cstheme="minorHAnsi"/>
          <w:bCs/>
          <w:iCs/>
          <w:lang w:val="en-US" w:eastAsia="en-US"/>
        </w:rPr>
        <w:t xml:space="preserve">Portugal, France </w:t>
      </w:r>
      <w:r w:rsidRPr="00C61E50">
        <w:rPr>
          <w:rFonts w:eastAsiaTheme="minorHAnsi" w:cstheme="minorHAnsi"/>
          <w:bCs/>
          <w:lang w:val="en-US" w:eastAsia="en-US"/>
        </w:rPr>
        <w:t xml:space="preserve">and </w:t>
      </w:r>
      <w:r w:rsidRPr="00C61E50">
        <w:rPr>
          <w:rFonts w:eastAsiaTheme="minorHAnsi" w:cstheme="minorHAnsi"/>
          <w:bCs/>
          <w:iCs/>
          <w:lang w:val="en-US" w:eastAsia="en-US"/>
        </w:rPr>
        <w:t xml:space="preserve">Belgium </w:t>
      </w:r>
      <w:r w:rsidRPr="00C61E50">
        <w:rPr>
          <w:rFonts w:eastAsiaTheme="minorHAnsi" w:cstheme="minorHAnsi"/>
          <w:bCs/>
          <w:lang w:val="en-US" w:eastAsia="en-US"/>
        </w:rPr>
        <w:t xml:space="preserve">as well as the </w:t>
      </w:r>
      <w:r w:rsidRPr="00C61E50">
        <w:rPr>
          <w:rFonts w:eastAsiaTheme="minorHAnsi" w:cstheme="minorHAnsi"/>
          <w:bCs/>
          <w:iCs/>
          <w:lang w:val="en-US" w:eastAsia="en-US"/>
        </w:rPr>
        <w:t xml:space="preserve">UK </w:t>
      </w:r>
      <w:r w:rsidRPr="00C61E50">
        <w:rPr>
          <w:rFonts w:eastAsiaTheme="minorHAnsi" w:cstheme="minorHAnsi"/>
          <w:bCs/>
          <w:lang w:val="en-US" w:eastAsia="en-US"/>
        </w:rPr>
        <w:t xml:space="preserve">and </w:t>
      </w:r>
      <w:r w:rsidRPr="00C61E50">
        <w:rPr>
          <w:rFonts w:eastAsiaTheme="minorHAnsi" w:cstheme="minorHAnsi"/>
          <w:bCs/>
          <w:iCs/>
          <w:lang w:val="en-US" w:eastAsia="en-US"/>
        </w:rPr>
        <w:t>Spain</w:t>
      </w:r>
      <w:r w:rsidRPr="00C61E50">
        <w:rPr>
          <w:rFonts w:eastAsiaTheme="minorHAnsi" w:cstheme="minorHAnsi"/>
          <w:bCs/>
          <w:lang w:val="en-US" w:eastAsia="en-US"/>
        </w:rPr>
        <w:t xml:space="preserve">, the European Court of Justice struck down diverse special rights mechanisms and established as a general principle that </w:t>
      </w:r>
      <w:r>
        <w:rPr>
          <w:rFonts w:eastAsiaTheme="minorHAnsi" w:cstheme="minorHAnsi"/>
          <w:bCs/>
          <w:lang w:val="en-US" w:eastAsia="en-US"/>
        </w:rPr>
        <w:t xml:space="preserve">any </w:t>
      </w:r>
      <w:r w:rsidRPr="00C61E50">
        <w:rPr>
          <w:rFonts w:eastAsiaTheme="minorHAnsi" w:cstheme="minorHAnsi"/>
          <w:bCs/>
          <w:lang w:val="en-US" w:eastAsia="en-US"/>
        </w:rPr>
        <w:t>legislation liable to deter potential direct investment restricts the EC Treaty freedoms of capital movement and establishment.</w:t>
      </w:r>
    </w:p>
  </w:footnote>
  <w:footnote w:id="40">
    <w:p w:rsidR="00EC3485" w:rsidRPr="009F6344" w:rsidRDefault="00EC3485" w:rsidP="00A943AF">
      <w:pPr>
        <w:pStyle w:val="FootnoteText"/>
        <w:rPr>
          <w:lang w:val="en-US"/>
        </w:rPr>
      </w:pPr>
      <w:r>
        <w:rPr>
          <w:rStyle w:val="FootnoteReference"/>
        </w:rPr>
        <w:footnoteRef/>
      </w:r>
      <w:r>
        <w:t xml:space="preserve"> </w:t>
      </w:r>
      <w:r w:rsidRPr="00A943AF">
        <w:rPr>
          <w:iCs/>
          <w:lang w:val="en-US"/>
        </w:rPr>
        <w:t>Maria Vagliasindi;</w:t>
      </w:r>
      <w:r w:rsidRPr="00A943AF">
        <w:rPr>
          <w:rFonts w:ascii="AGaramond-Regular" w:eastAsiaTheme="minorHAnsi" w:hAnsi="AGaramond-Regular" w:cs="AGaramond-Regular"/>
          <w:color w:val="008FFF"/>
          <w:sz w:val="52"/>
          <w:szCs w:val="52"/>
          <w:lang w:val="en-US" w:eastAsia="en-US"/>
        </w:rPr>
        <w:t xml:space="preserve"> </w:t>
      </w:r>
      <w:r w:rsidRPr="00A943AF">
        <w:rPr>
          <w:iCs/>
          <w:lang w:val="en-US"/>
        </w:rPr>
        <w:t>Governance Arrangements for State Owned</w:t>
      </w:r>
      <w:r>
        <w:rPr>
          <w:iCs/>
          <w:lang w:val="en-US"/>
        </w:rPr>
        <w:t xml:space="preserve"> </w:t>
      </w:r>
      <w:r w:rsidRPr="00A943AF">
        <w:rPr>
          <w:iCs/>
          <w:lang w:val="en-US"/>
        </w:rPr>
        <w:t>Enterprises;(2008);</w:t>
      </w:r>
      <w:r w:rsidRPr="00A943AF">
        <w:rPr>
          <w:rFonts w:ascii="AGaramond-Regular-SC700" w:eastAsiaTheme="minorHAnsi" w:hAnsi="AGaramond-Regular-SC700" w:cs="AGaramond-Regular-SC700"/>
          <w:color w:val="008FFF"/>
          <w:sz w:val="40"/>
          <w:szCs w:val="40"/>
          <w:lang w:val="en-US" w:eastAsia="en-US"/>
        </w:rPr>
        <w:t xml:space="preserve"> </w:t>
      </w:r>
      <w:r w:rsidRPr="00A943AF">
        <w:rPr>
          <w:iCs/>
          <w:lang w:val="en-US"/>
        </w:rPr>
        <w:t xml:space="preserve">Policy Research Working Paper 4542 available at </w:t>
      </w:r>
      <w:hyperlink r:id="rId18" w:history="1">
        <w:r w:rsidRPr="00A943AF">
          <w:rPr>
            <w:rStyle w:val="Hyperlink"/>
            <w:iCs/>
          </w:rPr>
          <w:t>http://elibrary.worldbank.org/docserver/download/4542.pdf?expires=1340417360&amp;id=id&amp;accname=guest&amp;checksum=6D00C7849E0ABA9FF2853740A48F4300</w:t>
        </w:r>
      </w:hyperlink>
    </w:p>
  </w:footnote>
  <w:footnote w:id="41">
    <w:p w:rsidR="00EC3485" w:rsidRPr="00C15B4B" w:rsidRDefault="00EC3485">
      <w:pPr>
        <w:pStyle w:val="FootnoteText"/>
        <w:rPr>
          <w:lang w:val="en-US"/>
        </w:rPr>
      </w:pPr>
      <w:r>
        <w:rPr>
          <w:rStyle w:val="FootnoteReference"/>
        </w:rPr>
        <w:footnoteRef/>
      </w:r>
      <w:r>
        <w:t xml:space="preserve"> Id. </w:t>
      </w:r>
      <w:r w:rsidRPr="00C15B4B">
        <w:rPr>
          <w:lang w:val="en-US"/>
        </w:rPr>
        <w:t>In Finland, 9 different ministries exercise the ownership function over 50 SOEs. In the UK (up to 2003), the ownership function was historically dispersed among a wide number of ministries, and is now under the responsibility of 9 different Departments, Ministries or Offices.</w:t>
      </w:r>
    </w:p>
  </w:footnote>
  <w:footnote w:id="42">
    <w:p w:rsidR="00EC3485" w:rsidRPr="00C15B4B" w:rsidRDefault="00EC3485">
      <w:pPr>
        <w:pStyle w:val="FootnoteText"/>
        <w:rPr>
          <w:lang w:val="en-US"/>
        </w:rPr>
      </w:pPr>
      <w:r>
        <w:rPr>
          <w:rStyle w:val="FootnoteReference"/>
        </w:rPr>
        <w:footnoteRef/>
      </w:r>
      <w:r>
        <w:t xml:space="preserve"> Id. </w:t>
      </w:r>
      <w:r w:rsidRPr="00C15B4B">
        <w:rPr>
          <w:lang w:val="en-US"/>
        </w:rPr>
        <w:t>In Brazil, Mexico, and Vietnam, although different line ministries oversee different SOEs, the Ministry of Finance is responsible for the financial performance and asset management of each.</w:t>
      </w:r>
      <w:r w:rsidRPr="00C15B4B">
        <w:rPr>
          <w:bCs/>
          <w:lang w:val="en-US"/>
        </w:rPr>
        <w:t xml:space="preserve"> </w:t>
      </w:r>
      <w:r w:rsidRPr="00C15B4B">
        <w:rPr>
          <w:lang w:val="en-US"/>
        </w:rPr>
        <w:t>In Kenya, the Ministry of Finance also sets other guidelines for SOEs.</w:t>
      </w:r>
      <w:r w:rsidRPr="00C15B4B">
        <w:rPr>
          <w:bCs/>
          <w:i/>
          <w:lang w:val="en-US"/>
        </w:rPr>
        <w:t xml:space="preserve"> </w:t>
      </w:r>
      <w:r w:rsidRPr="00C15B4B">
        <w:rPr>
          <w:lang w:val="en-US"/>
        </w:rPr>
        <w:t>In Turkey, the Treasury and the Privatization Administration are the legal owners of SOEs and share responsibility for the SOE with the relevant sector ministry.</w:t>
      </w:r>
      <w:r w:rsidRPr="00C15B4B">
        <w:rPr>
          <w:bCs/>
          <w:lang w:val="en-US"/>
        </w:rPr>
        <w:t xml:space="preserve"> </w:t>
      </w:r>
      <w:r w:rsidRPr="00C15B4B">
        <w:rPr>
          <w:lang w:val="en-US"/>
        </w:rPr>
        <w:t>In India, while SOEs are overseen by specific ministries, the Department of Public Enterprises issues guidelines and a number of government bodies have an oversight or advisory role</w:t>
      </w:r>
      <w:r>
        <w:rPr>
          <w:lang w:val="en-US"/>
        </w:rPr>
        <w:t xml:space="preserve"> while i</w:t>
      </w:r>
      <w:r w:rsidRPr="00C15B4B">
        <w:rPr>
          <w:lang w:val="en-US"/>
        </w:rPr>
        <w:t>n South Africa, the Department of Public Enterprises develops policies and processes for the governance of SOEs and directly oversees six major enterprises, while line ministries are responsible for the rest. The South African National Treasury also has an oversight role in SOE</w:t>
      </w:r>
      <w:r>
        <w:rPr>
          <w:lang w:val="en-US"/>
        </w:rPr>
        <w:t>.</w:t>
      </w:r>
    </w:p>
  </w:footnote>
  <w:footnote w:id="43">
    <w:p w:rsidR="00EC3485" w:rsidRPr="001A1969" w:rsidRDefault="00EC3485" w:rsidP="00B1050F">
      <w:pPr>
        <w:pStyle w:val="FootnoteText"/>
        <w:rPr>
          <w:lang w:val="en-US"/>
        </w:rPr>
      </w:pPr>
      <w:r>
        <w:rPr>
          <w:rStyle w:val="FootnoteReference"/>
        </w:rPr>
        <w:footnoteRef/>
      </w:r>
      <w:r>
        <w:t xml:space="preserve"> Id.</w:t>
      </w:r>
      <w:r w:rsidRPr="001A1969">
        <w:rPr>
          <w:lang w:val="en-US"/>
        </w:rPr>
        <w:t>In Singapore, SOEs are owned by Temasek, the national holding company, which in turn is 100 percent owned by the Ministry of Finance. As a holding company, Temasek has substantial authority in its subsidiary companies.</w:t>
      </w:r>
    </w:p>
    <w:p w:rsidR="00EC3485" w:rsidRPr="001A1969" w:rsidRDefault="00EC3485" w:rsidP="00B1050F">
      <w:pPr>
        <w:pStyle w:val="FootnoteText"/>
        <w:rPr>
          <w:lang w:val="en-US"/>
        </w:rPr>
      </w:pPr>
      <w:r w:rsidRPr="001A1969">
        <w:rPr>
          <w:bCs/>
          <w:lang w:val="en-US"/>
        </w:rPr>
        <w:t xml:space="preserve"> </w:t>
      </w:r>
      <w:r w:rsidRPr="001A1969">
        <w:rPr>
          <w:lang w:val="en-US"/>
        </w:rPr>
        <w:t xml:space="preserve">The Chilean State Owned Enterprise System is not considered the direct owner of SOEs, but carries out the ownership function for the state in all of them. </w:t>
      </w:r>
      <w:r w:rsidRPr="001A1969">
        <w:rPr>
          <w:bCs/>
          <w:lang w:val="en-US"/>
        </w:rPr>
        <w:t xml:space="preserve"> </w:t>
      </w:r>
      <w:r w:rsidRPr="001A1969">
        <w:rPr>
          <w:lang w:val="en-US"/>
        </w:rPr>
        <w:t>In Poland, the bulk of SOEs are under the Ministry of the Treasury, which has special units for privatization and SOE governance.</w:t>
      </w:r>
      <w:r w:rsidRPr="001A1969">
        <w:rPr>
          <w:bCs/>
          <w:lang w:val="en-US"/>
        </w:rPr>
        <w:t xml:space="preserve"> </w:t>
      </w:r>
      <w:r w:rsidRPr="001A1969">
        <w:rPr>
          <w:lang w:val="en-US"/>
        </w:rPr>
        <w:t xml:space="preserve">In Indonesia, the Ministry of State-Owned Enterprises exercises the states ownership rights in SOEs. </w:t>
      </w:r>
      <w:r w:rsidRPr="001A1969">
        <w:rPr>
          <w:bCs/>
          <w:lang w:val="en-US"/>
        </w:rPr>
        <w:t xml:space="preserve"> </w:t>
      </w:r>
      <w:r w:rsidRPr="001A1969">
        <w:rPr>
          <w:lang w:val="en-US"/>
        </w:rPr>
        <w:t>In Jordan, the ownership function is carried out by the Jordan Investment Corporation</w:t>
      </w:r>
    </w:p>
  </w:footnote>
  <w:footnote w:id="44">
    <w:p w:rsidR="00EC3485" w:rsidRPr="00A943AF" w:rsidRDefault="00EC3485">
      <w:pPr>
        <w:pStyle w:val="FootnoteText"/>
        <w:rPr>
          <w:lang w:val="en-US"/>
        </w:rPr>
      </w:pPr>
      <w:r>
        <w:rPr>
          <w:rStyle w:val="FootnoteReference"/>
        </w:rPr>
        <w:footnoteRef/>
      </w:r>
      <w:r>
        <w:t xml:space="preserve"> Details obtained from Temasek’s website:</w:t>
      </w:r>
      <w:r>
        <w:rPr>
          <w:lang w:val="en-US"/>
        </w:rPr>
        <w:t xml:space="preserve"> </w:t>
      </w:r>
      <w:hyperlink r:id="rId19" w:history="1">
        <w:r w:rsidRPr="00A943AF">
          <w:rPr>
            <w:rStyle w:val="Hyperlink"/>
            <w:u w:val="none"/>
          </w:rPr>
          <w:t>http://www.temasek.com.sg/</w:t>
        </w:r>
      </w:hyperlink>
    </w:p>
  </w:footnote>
  <w:footnote w:id="45">
    <w:p w:rsidR="00EC3485" w:rsidRPr="009D6FD7" w:rsidRDefault="00EC3485">
      <w:pPr>
        <w:pStyle w:val="FootnoteText"/>
        <w:rPr>
          <w:lang w:val="en-US"/>
        </w:rPr>
      </w:pPr>
      <w:r>
        <w:rPr>
          <w:rStyle w:val="FootnoteReference"/>
        </w:rPr>
        <w:footnoteRef/>
      </w:r>
      <w:r>
        <w:t xml:space="preserve"> </w:t>
      </w:r>
      <w:r>
        <w:rPr>
          <w:lang w:val="en-US"/>
        </w:rPr>
        <w:t>Id.</w:t>
      </w:r>
    </w:p>
  </w:footnote>
  <w:footnote w:id="46">
    <w:p w:rsidR="00EC3485" w:rsidRPr="00EB5194" w:rsidRDefault="00EC3485" w:rsidP="009D0B3D">
      <w:pPr>
        <w:pStyle w:val="FootnoteText"/>
        <w:rPr>
          <w:lang w:val="en-US"/>
        </w:rPr>
      </w:pPr>
      <w:r>
        <w:rPr>
          <w:rStyle w:val="FootnoteReference"/>
        </w:rPr>
        <w:footnoteRef/>
      </w:r>
      <w:r>
        <w:t xml:space="preserve"> Supra. Refer Note No. 39.</w:t>
      </w:r>
    </w:p>
  </w:footnote>
  <w:footnote w:id="47">
    <w:p w:rsidR="00EC3485" w:rsidRPr="00331232" w:rsidRDefault="00EC3485" w:rsidP="00331232">
      <w:pPr>
        <w:pStyle w:val="FootnoteText"/>
        <w:rPr>
          <w:bCs/>
          <w:lang w:val="en-US"/>
        </w:rPr>
      </w:pPr>
      <w:r w:rsidRPr="00331232">
        <w:rPr>
          <w:rStyle w:val="FootnoteReference"/>
        </w:rPr>
        <w:footnoteRef/>
      </w:r>
      <w:r w:rsidRPr="00331232">
        <w:t xml:space="preserve"> </w:t>
      </w:r>
      <w:r w:rsidRPr="00331232">
        <w:rPr>
          <w:bCs/>
          <w:lang w:val="en-US"/>
        </w:rPr>
        <w:t xml:space="preserve">Miko Kamal; </w:t>
      </w:r>
      <w:r w:rsidRPr="00331232">
        <w:rPr>
          <w:lang w:val="en-US"/>
        </w:rPr>
        <w:t>PhD Candidate in Business Law, Macquarie University;</w:t>
      </w:r>
      <w:r w:rsidRPr="00331232">
        <w:rPr>
          <w:bCs/>
          <w:lang w:val="en-US"/>
        </w:rPr>
        <w:t xml:space="preserve"> (2010)</w:t>
      </w:r>
      <w:r>
        <w:rPr>
          <w:bCs/>
          <w:lang w:val="en-US"/>
        </w:rPr>
        <w:t xml:space="preserve">; </w:t>
      </w:r>
      <w:r w:rsidRPr="00331232">
        <w:rPr>
          <w:bCs/>
          <w:lang w:val="en-US"/>
        </w:rPr>
        <w:t>Corporate Governance and State-owned Enterprises: A Study of Indonesia’s Code of Corporate Governance</w:t>
      </w:r>
      <w:r>
        <w:rPr>
          <w:bCs/>
          <w:lang w:val="en-US"/>
        </w:rPr>
        <w:t>,</w:t>
      </w:r>
      <w:r w:rsidRPr="00331232">
        <w:rPr>
          <w:bCs/>
          <w:lang w:val="en-US"/>
        </w:rPr>
        <w:t xml:space="preserve"> </w:t>
      </w:r>
      <w:r w:rsidRPr="00331232">
        <w:rPr>
          <w:bCs/>
          <w:iCs/>
          <w:lang w:val="en-US"/>
        </w:rPr>
        <w:t xml:space="preserve">Journal of International Commercial Law and Technology </w:t>
      </w:r>
      <w:r w:rsidRPr="00331232">
        <w:rPr>
          <w:bCs/>
          <w:lang w:val="en-US"/>
        </w:rPr>
        <w:t xml:space="preserve">Vol. 5, Issue 4 </w:t>
      </w:r>
    </w:p>
    <w:p w:rsidR="00EC3485" w:rsidRPr="00331232" w:rsidRDefault="00EC3485">
      <w:pPr>
        <w:pStyle w:val="FootnoteText"/>
        <w:rPr>
          <w:lang w:val="en-US"/>
        </w:rPr>
      </w:pPr>
    </w:p>
  </w:footnote>
  <w:footnote w:id="48">
    <w:p w:rsidR="00EC3485" w:rsidRDefault="00EC3485" w:rsidP="001F607E">
      <w:pPr>
        <w:pStyle w:val="FootnoteText"/>
      </w:pPr>
      <w:r>
        <w:rPr>
          <w:rStyle w:val="FootnoteReference"/>
        </w:rPr>
        <w:footnoteRef/>
      </w:r>
      <w:r>
        <w:t xml:space="preserve">The DPE guidelines for CPSEs  are available at  </w:t>
      </w:r>
      <w:hyperlink r:id="rId20" w:history="1">
        <w:r w:rsidRPr="00177998">
          <w:rPr>
            <w:rStyle w:val="Hyperlink"/>
          </w:rPr>
          <w:t>http://dpe.nic.in/sites/upload_files/dpe/files/gcgcpse10.pdf</w:t>
        </w:r>
      </w:hyperlink>
    </w:p>
  </w:footnote>
  <w:footnote w:id="49">
    <w:p w:rsidR="00EC3485" w:rsidRDefault="00EC3485" w:rsidP="001F607E">
      <w:pPr>
        <w:pStyle w:val="FootnoteText"/>
        <w:rPr>
          <w:lang w:val="en-US"/>
        </w:rPr>
      </w:pPr>
      <w:r>
        <w:rPr>
          <w:rStyle w:val="FootnoteReference"/>
        </w:rPr>
        <w:footnoteRef/>
      </w:r>
      <w:r>
        <w:t xml:space="preserve"> </w:t>
      </w:r>
      <w:r w:rsidRPr="003E28CA">
        <w:rPr>
          <w:lang w:val="en-US"/>
        </w:rPr>
        <w:t xml:space="preserve">Clause 49 of the Listing Agreement contains the guidelines on Corporate Governance for all Listed Companies and applies to all Listed Companies (or those that are seeking listing), except for very small companies (that is,  those that have a paid-up capital of less than Rs. 30 million and a net worth of less than Rs. 250 million throughout their history). While several requirements of Clause 49 are mandatory in nature, there are certain requirements (such as the setting up of a remuneration committee, training of board members and whistleblower policy) that are merely recommendatory in nature. </w:t>
      </w:r>
    </w:p>
    <w:p w:rsidR="00EC3485" w:rsidRPr="004C5617" w:rsidRDefault="00EC3485" w:rsidP="001F607E">
      <w:pPr>
        <w:pStyle w:val="FootnoteText"/>
        <w:rPr>
          <w:lang w:val="en-US"/>
        </w:rPr>
      </w:pPr>
      <w:r w:rsidRPr="003E28CA">
        <w:rPr>
          <w:lang w:val="en-US"/>
        </w:rPr>
        <w:t xml:space="preserve">See Securities and Exchange Board of India circular no. SEBI/CFD/DIL/CG/1/2004/12/10 dated 29 October 2004, Available at: &lt; http://www.sebi.gov.in/circulars/2004/cfdcir0104.pdf&gt;. </w:t>
      </w:r>
    </w:p>
  </w:footnote>
  <w:footnote w:id="50">
    <w:p w:rsidR="00EC3485" w:rsidRPr="008C50B0" w:rsidRDefault="00EC3485" w:rsidP="001F607E">
      <w:pPr>
        <w:pStyle w:val="FootnoteText"/>
        <w:rPr>
          <w:lang w:val="en-US"/>
        </w:rPr>
      </w:pPr>
      <w:r>
        <w:rPr>
          <w:rStyle w:val="FootnoteReference"/>
        </w:rPr>
        <w:footnoteRef/>
      </w:r>
      <w:r>
        <w:t>Supra. Refer Note No. 47.</w:t>
      </w:r>
    </w:p>
  </w:footnote>
  <w:footnote w:id="51">
    <w:p w:rsidR="00EC3485" w:rsidRPr="00D34FDB" w:rsidRDefault="00EC3485" w:rsidP="001F607E">
      <w:pPr>
        <w:pStyle w:val="FootnoteText"/>
        <w:rPr>
          <w:lang w:val="en-US"/>
        </w:rPr>
      </w:pPr>
      <w:r>
        <w:rPr>
          <w:rStyle w:val="FootnoteReference"/>
        </w:rPr>
        <w:footnoteRef/>
      </w:r>
      <w:r>
        <w:t xml:space="preserve"> Id.</w:t>
      </w:r>
    </w:p>
  </w:footnote>
  <w:footnote w:id="52">
    <w:p w:rsidR="00EC3485" w:rsidRDefault="00EC3485" w:rsidP="003E28CA">
      <w:pPr>
        <w:pStyle w:val="FootnoteText"/>
      </w:pPr>
      <w:r>
        <w:rPr>
          <w:rStyle w:val="FootnoteReference"/>
        </w:rPr>
        <w:footnoteRef/>
      </w:r>
      <w:r>
        <w:t xml:space="preserve"> </w:t>
      </w:r>
      <w:r w:rsidRPr="00F1702E">
        <w:t>Under Article 12</w:t>
      </w:r>
      <w:r>
        <w:t xml:space="preserve"> of the Indian Constitution the definition of </w:t>
      </w:r>
      <w:r w:rsidRPr="00F1702E">
        <w:t xml:space="preserve">, ‘State’, unless the context otherwise requires, includes the Government and Parliament of India and the Governments and Legislature of each of the States </w:t>
      </w:r>
      <w:r w:rsidRPr="00A97334">
        <w:t>and all local or other authorities within the territory of India or under the control of the Government of India.</w:t>
      </w:r>
      <w:r w:rsidRPr="00F1702E">
        <w:t xml:space="preserve"> Although Article 12, in so many words, does not provide that CPSEs fall within the definition of the ‘State’, they  are</w:t>
      </w:r>
      <w:r>
        <w:t xml:space="preserve"> still </w:t>
      </w:r>
      <w:r w:rsidRPr="00F1702E">
        <w:t xml:space="preserve"> deemed as being included in the category ‘other authorities’ and therefore, covered under the definition of ‘State’ as pronounced by different Courts including the </w:t>
      </w:r>
      <w:r>
        <w:t xml:space="preserve">Supreme </w:t>
      </w:r>
      <w:r w:rsidRPr="00F1702E">
        <w:t>Court</w:t>
      </w:r>
      <w:r>
        <w:t xml:space="preserve"> of India</w:t>
      </w:r>
      <w:r w:rsidRPr="00F1702E">
        <w:t>.</w:t>
      </w:r>
    </w:p>
    <w:p w:rsidR="00EC3485" w:rsidRDefault="00EC3485" w:rsidP="001F607E">
      <w:pPr>
        <w:pStyle w:val="FootnoteText"/>
      </w:pPr>
      <w:r>
        <w:t xml:space="preserve">Refer to the report of the Ad-hoc Group of Experts on the Empowerment of central Public Sector Enterprises (Arjun Sengupta Committee), 2007: available at </w:t>
      </w:r>
      <w:hyperlink r:id="rId21" w:history="1">
        <w:r w:rsidRPr="00F404D3">
          <w:rPr>
            <w:rStyle w:val="Hyperlink"/>
          </w:rPr>
          <w:t>http://dpe.nic.in/publications/report_of_ad_hoc_group_of_experts_on_empowerment_of_cpses</w:t>
        </w:r>
      </w:hyperlink>
      <w:r>
        <w:t>.</w:t>
      </w:r>
    </w:p>
  </w:footnote>
  <w:footnote w:id="53">
    <w:p w:rsidR="00EC3485" w:rsidRDefault="00EC3485" w:rsidP="001F607E">
      <w:pPr>
        <w:pStyle w:val="FootnoteText"/>
      </w:pPr>
      <w:r>
        <w:rPr>
          <w:rStyle w:val="FootnoteReference"/>
        </w:rPr>
        <w:footnoteRef/>
      </w:r>
      <w:r>
        <w:t xml:space="preserve">  Mr Arun Balakrishnan, CMD of Hindustan Petroleum </w:t>
      </w:r>
      <w:r w:rsidR="00195815">
        <w:t>Corporation (</w:t>
      </w:r>
      <w:r>
        <w:t xml:space="preserve">HPCL) has identified the inclusion of PSEs under the definition of State as,”……the genesis for a plethora of controls. Thus in addition to the audit committee, the statutory audit, internal audit the State owned enterprises have audits/reviews conducted by the parent ministry, the Department of Public Enterprises, Comptroller &amp; Accountant General, the Chief Vigilance Commissioner, Parliament and Parliamentary Committees and the CBI .The State owned enterprises are also subject to writ petitions to the Supreme Court under Article 32 of the Indian Constitution and to the High Court under Article 226 of the Indian Constitution”. </w:t>
      </w:r>
    </w:p>
    <w:p w:rsidR="00EC3485" w:rsidRDefault="00EC3485" w:rsidP="001F607E">
      <w:pPr>
        <w:pStyle w:val="FootnoteText"/>
      </w:pPr>
      <w:r>
        <w:t xml:space="preserve"> Available at-</w:t>
      </w:r>
      <w:hyperlink r:id="rId22" w:history="1">
        <w:r>
          <w:rPr>
            <w:rStyle w:val="Hyperlink"/>
          </w:rPr>
          <w:t>http://www.hindustanpetroleum.com/Upload/En/ChairmansSpeech/files/SOE%20Corporate%20Governance%20June08.pdf</w:t>
        </w:r>
      </w:hyperlink>
    </w:p>
  </w:footnote>
  <w:footnote w:id="54">
    <w:p w:rsidR="00EC3485" w:rsidRPr="00B21B0B" w:rsidRDefault="00EC3485" w:rsidP="001F607E">
      <w:pPr>
        <w:pStyle w:val="FootnoteText"/>
        <w:rPr>
          <w:lang w:val="en-US"/>
        </w:rPr>
      </w:pPr>
      <w:r>
        <w:rPr>
          <w:rStyle w:val="FootnoteReference"/>
        </w:rPr>
        <w:footnoteRef/>
      </w:r>
      <w:r>
        <w:t xml:space="preserve"> Supra., Refer Note No. 39</w:t>
      </w:r>
    </w:p>
  </w:footnote>
  <w:footnote w:id="55">
    <w:p w:rsidR="00EC3485" w:rsidRPr="000C39B5" w:rsidRDefault="00EC3485" w:rsidP="001F607E">
      <w:pPr>
        <w:pStyle w:val="FootnoteText"/>
        <w:rPr>
          <w:lang w:val="en-US"/>
        </w:rPr>
      </w:pPr>
      <w:r>
        <w:rPr>
          <w:rStyle w:val="FootnoteReference"/>
        </w:rPr>
        <w:footnoteRef/>
      </w:r>
      <w:r>
        <w:t xml:space="preserve"> The c</w:t>
      </w:r>
      <w:r w:rsidRPr="00A97334">
        <w:t>riteria laid down by the G</w:t>
      </w:r>
      <w:r>
        <w:t xml:space="preserve">oI </w:t>
      </w:r>
      <w:r w:rsidRPr="00A97334">
        <w:t xml:space="preserve"> for consideration</w:t>
      </w:r>
      <w:r>
        <w:t xml:space="preserve"> of candidates </w:t>
      </w:r>
      <w:r w:rsidRPr="00A97334">
        <w:t xml:space="preserve"> as non-officia</w:t>
      </w:r>
      <w:r>
        <w:t xml:space="preserve">l </w:t>
      </w:r>
      <w:r w:rsidRPr="00A97334">
        <w:t>Director</w:t>
      </w:r>
      <w:r>
        <w:t xml:space="preserve">(s) in CPSEs are available at </w:t>
      </w:r>
      <w:r w:rsidRPr="000C39B5">
        <w:t>http://dpe.nic.in/publications/databank_of_independent_directors</w:t>
      </w:r>
    </w:p>
  </w:footnote>
  <w:footnote w:id="56">
    <w:p w:rsidR="00EC3485" w:rsidRPr="00B070C2" w:rsidRDefault="00EC3485" w:rsidP="001F607E">
      <w:pPr>
        <w:pStyle w:val="FootnoteText"/>
        <w:rPr>
          <w:bCs/>
        </w:rPr>
      </w:pPr>
      <w:r>
        <w:rPr>
          <w:rStyle w:val="FootnoteReference"/>
        </w:rPr>
        <w:footnoteRef/>
      </w:r>
      <w:r>
        <w:t xml:space="preserve"> Id. </w:t>
      </w:r>
      <w:r w:rsidRPr="00B070C2">
        <w:rPr>
          <w:bCs/>
        </w:rPr>
        <w:t>The present composition of the Search Committee is as under.</w:t>
      </w:r>
    </w:p>
    <w:p w:rsidR="00EC3485" w:rsidRPr="00B070C2" w:rsidRDefault="00EC3485" w:rsidP="001F607E">
      <w:pPr>
        <w:pStyle w:val="FootnoteText"/>
        <w:numPr>
          <w:ilvl w:val="0"/>
          <w:numId w:val="24"/>
        </w:numPr>
        <w:rPr>
          <w:bCs/>
        </w:rPr>
      </w:pPr>
      <w:r w:rsidRPr="00B070C2">
        <w:rPr>
          <w:bCs/>
        </w:rPr>
        <w:t xml:space="preserve">Chairman (PESB) </w:t>
      </w:r>
    </w:p>
    <w:p w:rsidR="00EC3485" w:rsidRPr="00B070C2" w:rsidRDefault="00EC3485" w:rsidP="001F607E">
      <w:pPr>
        <w:pStyle w:val="FootnoteText"/>
        <w:numPr>
          <w:ilvl w:val="0"/>
          <w:numId w:val="24"/>
        </w:numPr>
        <w:rPr>
          <w:bCs/>
        </w:rPr>
      </w:pPr>
      <w:r w:rsidRPr="00B070C2">
        <w:rPr>
          <w:bCs/>
        </w:rPr>
        <w:t xml:space="preserve">Secretary, DPE </w:t>
      </w:r>
    </w:p>
    <w:p w:rsidR="00EC3485" w:rsidRPr="00B070C2" w:rsidRDefault="00EC3485" w:rsidP="001F607E">
      <w:pPr>
        <w:pStyle w:val="FootnoteText"/>
        <w:numPr>
          <w:ilvl w:val="0"/>
          <w:numId w:val="24"/>
        </w:numPr>
        <w:rPr>
          <w:bCs/>
        </w:rPr>
      </w:pPr>
      <w:r w:rsidRPr="00B070C2">
        <w:rPr>
          <w:bCs/>
        </w:rPr>
        <w:t xml:space="preserve">Secretary of the concerned Administrative Ministry/Department </w:t>
      </w:r>
    </w:p>
    <w:p w:rsidR="00EC3485" w:rsidRPr="00B070C2" w:rsidRDefault="00EC3485" w:rsidP="001F607E">
      <w:pPr>
        <w:pStyle w:val="FootnoteText"/>
        <w:numPr>
          <w:ilvl w:val="0"/>
          <w:numId w:val="24"/>
        </w:numPr>
        <w:rPr>
          <w:lang w:val="en-US"/>
        </w:rPr>
      </w:pPr>
      <w:r w:rsidRPr="00B070C2">
        <w:rPr>
          <w:bCs/>
        </w:rPr>
        <w:t xml:space="preserve">2 non-official Members, viz. Shri Vivek Mehrotra, Ex-Secretary to GOI and Dr. Pritam Singh, Director General, International Management Institute. </w:t>
      </w:r>
    </w:p>
  </w:footnote>
  <w:footnote w:id="57">
    <w:p w:rsidR="00EC3485" w:rsidRPr="00202907" w:rsidRDefault="00EC3485" w:rsidP="00A97334">
      <w:pPr>
        <w:pStyle w:val="FootnoteText"/>
        <w:rPr>
          <w:lang w:val="en-US"/>
        </w:rPr>
      </w:pPr>
      <w:r>
        <w:rPr>
          <w:rStyle w:val="FootnoteReference"/>
        </w:rPr>
        <w:footnoteRef/>
      </w:r>
      <w:r>
        <w:t xml:space="preserve">  As reported in a Comptroller and Auditor General (CAG) Report tabled in  the Indian Parliament on 10.5.2012, o</w:t>
      </w:r>
      <w:r w:rsidRPr="00202907">
        <w:t>f the 466 Central Public Sector Enterprises (CPSEs) audited by the CAG during 2010-11, 18 companies did not have the required number of independent directors and in 29 companies there was no such representatives on board</w:t>
      </w:r>
      <w:r>
        <w:t>.</w:t>
      </w:r>
    </w:p>
    <w:p w:rsidR="00EC3485" w:rsidRPr="00202907" w:rsidRDefault="00EC3485" w:rsidP="001F607E">
      <w:pPr>
        <w:pStyle w:val="FootnoteText"/>
        <w:rPr>
          <w:lang w:val="en-US"/>
        </w:rPr>
      </w:pPr>
      <w:r>
        <w:t xml:space="preserve">Refer to: </w:t>
      </w:r>
      <w:hyperlink r:id="rId23" w:history="1">
        <w:r>
          <w:rPr>
            <w:rStyle w:val="Hyperlink"/>
          </w:rPr>
          <w:t>http://articles.economictimes.indiatimes.com/2012-05-10/news/31655558_1_independent-directors-cag-report-cpses</w:t>
        </w:r>
      </w:hyperlink>
      <w:r>
        <w:t xml:space="preserve">.  </w:t>
      </w:r>
    </w:p>
  </w:footnote>
  <w:footnote w:id="58">
    <w:p w:rsidR="00EC3485" w:rsidRPr="007D7177" w:rsidRDefault="00EC3485" w:rsidP="001F607E">
      <w:pPr>
        <w:pStyle w:val="FootnoteText"/>
        <w:rPr>
          <w:lang w:val="en-US"/>
        </w:rPr>
      </w:pPr>
      <w:r>
        <w:rPr>
          <w:rStyle w:val="FootnoteReference"/>
        </w:rPr>
        <w:footnoteRef/>
      </w:r>
      <w:r>
        <w:t xml:space="preserve"> As reported in: </w:t>
      </w:r>
      <w:hyperlink r:id="rId24" w:history="1">
        <w:r>
          <w:rPr>
            <w:rStyle w:val="Hyperlink"/>
          </w:rPr>
          <w:t>http://www.livemint.com/2011/09/12224756/60-CXO-250-independent-direct.html?atype=tp</w:t>
        </w:r>
      </w:hyperlink>
    </w:p>
  </w:footnote>
  <w:footnote w:id="59">
    <w:p w:rsidR="00EC3485" w:rsidRPr="008F61CC" w:rsidRDefault="00EC3485" w:rsidP="008F61CC">
      <w:pPr>
        <w:pStyle w:val="FootnoteText"/>
        <w:rPr>
          <w:lang w:val="en-US"/>
        </w:rPr>
      </w:pPr>
      <w:r>
        <w:rPr>
          <w:rStyle w:val="FootnoteReference"/>
        </w:rPr>
        <w:footnoteRef/>
      </w:r>
      <w:r>
        <w:t xml:space="preserve"> </w:t>
      </w:r>
      <w:r w:rsidRPr="008F61CC">
        <w:rPr>
          <w:lang w:val="en-US"/>
        </w:rPr>
        <w:t>Varrotil, U.,</w:t>
      </w:r>
      <w:r w:rsidRPr="008F61CC">
        <w:rPr>
          <w:rFonts w:ascii="Times New Roman" w:eastAsiaTheme="minorHAnsi" w:hAnsi="Times New Roman" w:cs="Times New Roman"/>
          <w:b/>
          <w:bCs/>
          <w:sz w:val="24"/>
          <w:szCs w:val="24"/>
          <w:lang w:val="en-US" w:eastAsia="en-US"/>
        </w:rPr>
        <w:t xml:space="preserve"> </w:t>
      </w:r>
      <w:r w:rsidRPr="008F61CC">
        <w:rPr>
          <w:bCs/>
          <w:lang w:val="en-US"/>
        </w:rPr>
        <w:t>Evolution &amp; Effectiveness of Independent Directors in Indian Corporate Governance; (</w:t>
      </w:r>
      <w:r w:rsidRPr="008F61CC">
        <w:rPr>
          <w:bCs/>
          <w:iCs/>
          <w:lang w:val="en-US"/>
        </w:rPr>
        <w:t>Summer 2010) Hastings Business Law Journal, Volume 6, Number 2;</w:t>
      </w:r>
      <w:r w:rsidRPr="008F61CC">
        <w:rPr>
          <w:lang w:val="en-US"/>
        </w:rPr>
        <w:t xml:space="preserve"> feels that </w:t>
      </w:r>
      <w:r w:rsidRPr="008F61CC">
        <w:rPr>
          <w:iCs/>
          <w:lang w:val="en-US"/>
        </w:rPr>
        <w:t>due to the concentrated ownership structures in Indian companies, the minority shareholders require the protection of corporate governance norms from actions of the controlling shareholders and Board independence, in the form it</w:t>
      </w:r>
      <w:r>
        <w:rPr>
          <w:iCs/>
          <w:lang w:val="en-US"/>
        </w:rPr>
        <w:t xml:space="preserve"> has</w:t>
      </w:r>
      <w:r w:rsidRPr="008F61CC">
        <w:rPr>
          <w:iCs/>
          <w:lang w:val="en-US"/>
        </w:rPr>
        <w:t xml:space="preserve"> originated</w:t>
      </w:r>
      <w:r>
        <w:rPr>
          <w:iCs/>
          <w:lang w:val="en-US"/>
        </w:rPr>
        <w:t xml:space="preserve"> in the western countries</w:t>
      </w:r>
      <w:r w:rsidRPr="008F61CC">
        <w:rPr>
          <w:iCs/>
          <w:lang w:val="en-US"/>
        </w:rPr>
        <w:t>, does not provide a solution to this problem.</w:t>
      </w:r>
    </w:p>
  </w:footnote>
  <w:footnote w:id="60">
    <w:p w:rsidR="00EC3485" w:rsidRPr="00AE77CE" w:rsidRDefault="00EC3485" w:rsidP="001F607E">
      <w:pPr>
        <w:rPr>
          <w:lang w:val="en-US"/>
        </w:rPr>
      </w:pPr>
      <w:r>
        <w:rPr>
          <w:rStyle w:val="FootnoteReference"/>
        </w:rPr>
        <w:footnoteRef/>
      </w:r>
      <w:r>
        <w:rPr>
          <w:rFonts w:cstheme="minorHAnsi"/>
          <w:sz w:val="20"/>
          <w:szCs w:val="20"/>
        </w:rPr>
        <w:t xml:space="preserve">In his budget speech while presenting the FY 09-10 Budget, the Finance Minister said, </w:t>
      </w:r>
      <w:r w:rsidRPr="00B6011C">
        <w:rPr>
          <w:rFonts w:cstheme="minorHAnsi"/>
          <w:sz w:val="20"/>
          <w:szCs w:val="20"/>
        </w:rPr>
        <w:t xml:space="preserve">“The Public Sector Undertakings are the wealth of the nation, and part of this wealth should rest in the hands of the people. While retaining at least 51 per cent Government equity in our enterprises, I propose to encourage people’s participation in our disinvestment programme. Here, I must state clearly that public sector enterprises such as banks and insurance companies will remain in the public sector and will be given all support, including capital infusion, to </w:t>
      </w:r>
      <w:r>
        <w:rPr>
          <w:rFonts w:cstheme="minorHAnsi"/>
          <w:sz w:val="20"/>
          <w:szCs w:val="20"/>
        </w:rPr>
        <w:t>g</w:t>
      </w:r>
      <w:r w:rsidRPr="00B6011C">
        <w:rPr>
          <w:rFonts w:cstheme="minorHAnsi"/>
          <w:sz w:val="20"/>
          <w:szCs w:val="20"/>
        </w:rPr>
        <w:t>row and remain competitive</w:t>
      </w:r>
      <w:r>
        <w:rPr>
          <w:rFonts w:cstheme="minorHAnsi"/>
          <w:sz w:val="20"/>
          <w:szCs w:val="20"/>
        </w:rPr>
        <w:t xml:space="preserve">”; reported at: </w:t>
      </w:r>
      <w:hyperlink r:id="rId25" w:history="1">
        <w:r w:rsidRPr="006F65AB">
          <w:rPr>
            <w:color w:val="0000FF"/>
            <w:sz w:val="20"/>
            <w:szCs w:val="20"/>
            <w:u w:val="single"/>
          </w:rPr>
          <w:t>http://indiabudget.nic.in/ub2009-10/bs/speecha.htm</w:t>
        </w:r>
      </w:hyperlink>
      <w:r w:rsidRPr="006F65AB">
        <w:rPr>
          <w:sz w:val="20"/>
          <w:szCs w:val="20"/>
        </w:rPr>
        <w:t>.</w:t>
      </w:r>
    </w:p>
  </w:footnote>
  <w:footnote w:id="61">
    <w:p w:rsidR="00EC3485" w:rsidRPr="002B1310" w:rsidRDefault="00EC3485" w:rsidP="001F607E">
      <w:pPr>
        <w:pStyle w:val="FootnoteText"/>
        <w:rPr>
          <w:lang w:val="en-US"/>
        </w:rPr>
      </w:pPr>
      <w:r>
        <w:rPr>
          <w:rStyle w:val="FootnoteReference"/>
        </w:rPr>
        <w:footnoteRef/>
      </w:r>
      <w:r>
        <w:t xml:space="preserve">The investment objectives of the National Investment Fund are given at: </w:t>
      </w:r>
      <w:hyperlink r:id="rId26" w:history="1">
        <w:r w:rsidRPr="002B1310">
          <w:rPr>
            <w:rStyle w:val="Hyperlink"/>
          </w:rPr>
          <w:t>http://www.divest.nic.in/Nat_inves_fund.asp</w:t>
        </w:r>
      </w:hyperlink>
    </w:p>
  </w:footnote>
  <w:footnote w:id="62">
    <w:p w:rsidR="00EC3485" w:rsidRPr="002B1310" w:rsidRDefault="00EC3485" w:rsidP="001F607E">
      <w:pPr>
        <w:pStyle w:val="FootnoteText"/>
        <w:rPr>
          <w:lang w:val="en-US"/>
        </w:rPr>
      </w:pPr>
      <w:r>
        <w:rPr>
          <w:rStyle w:val="FootnoteReference"/>
        </w:rPr>
        <w:footnoteRef/>
      </w:r>
      <w:r>
        <w:t xml:space="preserve"> </w:t>
      </w:r>
      <w:r>
        <w:rPr>
          <w:lang w:val="en-US"/>
        </w:rPr>
        <w:t>Id.</w:t>
      </w:r>
    </w:p>
  </w:footnote>
  <w:footnote w:id="63">
    <w:p w:rsidR="00EC3485" w:rsidRPr="001B06E5" w:rsidRDefault="00EC3485" w:rsidP="001F607E">
      <w:pPr>
        <w:pStyle w:val="FootnoteText"/>
        <w:rPr>
          <w:lang w:val="en-US"/>
        </w:rPr>
      </w:pPr>
      <w:r>
        <w:rPr>
          <w:rStyle w:val="FootnoteReference"/>
        </w:rPr>
        <w:footnoteRef/>
      </w:r>
      <w:r>
        <w:t xml:space="preserve"> </w:t>
      </w:r>
      <w:r w:rsidRPr="001B06E5">
        <w:t> </w:t>
      </w:r>
      <w:r>
        <w:t xml:space="preserve"> In a column posted on </w:t>
      </w:r>
      <w:hyperlink r:id="rId27" w:history="1">
        <w:r w:rsidRPr="00D00E74">
          <w:rPr>
            <w:rStyle w:val="Hyperlink"/>
          </w:rPr>
          <w:t>www.suchetadalal.com</w:t>
        </w:r>
      </w:hyperlink>
      <w:r>
        <w:t xml:space="preserve"> former Union Secretary, Dr E A S Sarma has written, “</w:t>
      </w:r>
      <w:r w:rsidRPr="001B06E5">
        <w:t>Instead of deploying the disinvestment proceeds in more viable long-term investment opportunities, successive governments used them to fill the widening budgetary gap between the revenue and the unproductive expenditure, thus frittering away the gains, if any, of disinvestment</w:t>
      </w:r>
      <w:r>
        <w:t xml:space="preserve">”, available at </w:t>
      </w:r>
      <w:hyperlink r:id="rId28" w:history="1">
        <w:r>
          <w:rPr>
            <w:rStyle w:val="Hyperlink"/>
          </w:rPr>
          <w:t>http://www.suchetadalal.com/?id=def31eae-ef70-4e27-4f840b0b12f9&amp;base=sections&amp;f</w:t>
        </w:r>
      </w:hyperlink>
      <w:r>
        <w:t>.</w:t>
      </w:r>
      <w:r w:rsidRPr="001B06E5">
        <w:t>. </w:t>
      </w:r>
    </w:p>
  </w:footnote>
  <w:footnote w:id="64">
    <w:p w:rsidR="00EC3485" w:rsidRPr="00920BD9" w:rsidRDefault="00EC3485" w:rsidP="00920BD9">
      <w:pPr>
        <w:pStyle w:val="FootnoteText"/>
        <w:rPr>
          <w:lang w:val="en-US"/>
        </w:rPr>
      </w:pPr>
      <w:r>
        <w:rPr>
          <w:rStyle w:val="FootnoteReference"/>
        </w:rPr>
        <w:footnoteRef/>
      </w:r>
      <w:r>
        <w:rPr>
          <w:bCs/>
          <w:lang w:val="en-US"/>
        </w:rPr>
        <w:t>Ka</w:t>
      </w:r>
      <w:r w:rsidRPr="00920BD9">
        <w:rPr>
          <w:bCs/>
          <w:lang w:val="en-US"/>
        </w:rPr>
        <w:t>nnan Ramaswamy, Dep</w:t>
      </w:r>
      <w:r>
        <w:rPr>
          <w:bCs/>
          <w:lang w:val="en-US"/>
        </w:rPr>
        <w:t>t</w:t>
      </w:r>
      <w:r w:rsidRPr="00920BD9">
        <w:rPr>
          <w:bCs/>
          <w:lang w:val="en-US"/>
        </w:rPr>
        <w:t xml:space="preserve"> of Management &amp; Intl. Business, Florida International University, Miami, FL 33199 </w:t>
      </w:r>
      <w:r>
        <w:rPr>
          <w:bCs/>
          <w:lang w:val="en-US"/>
        </w:rPr>
        <w:t>;</w:t>
      </w:r>
      <w:r w:rsidRPr="005F24D5">
        <w:rPr>
          <w:bCs/>
          <w:lang w:val="en-US"/>
        </w:rPr>
        <w:t xml:space="preserve"> </w:t>
      </w:r>
      <w:r>
        <w:rPr>
          <w:bCs/>
          <w:lang w:val="en-US"/>
        </w:rPr>
        <w:t xml:space="preserve">(1994), </w:t>
      </w:r>
      <w:r>
        <w:t xml:space="preserve"> </w:t>
      </w:r>
      <w:r w:rsidRPr="00920BD9">
        <w:rPr>
          <w:bCs/>
          <w:lang w:val="en-US"/>
        </w:rPr>
        <w:t>E</w:t>
      </w:r>
      <w:r>
        <w:rPr>
          <w:bCs/>
          <w:lang w:val="en-US"/>
        </w:rPr>
        <w:t>valuating the comparative performance of state owned enterprises and privately owned firms</w:t>
      </w:r>
      <w:r w:rsidRPr="00920BD9">
        <w:rPr>
          <w:bCs/>
          <w:lang w:val="en-US"/>
        </w:rPr>
        <w:t>:</w:t>
      </w:r>
      <w:r>
        <w:rPr>
          <w:bCs/>
          <w:lang w:val="en-US"/>
        </w:rPr>
        <w:t xml:space="preserve"> the Indian experience,</w:t>
      </w:r>
      <w:r w:rsidRPr="00920BD9">
        <w:rPr>
          <w:bCs/>
          <w:lang w:val="en-US"/>
        </w:rPr>
        <w:t xml:space="preserve"> </w:t>
      </w:r>
      <w:r w:rsidRPr="005F24D5">
        <w:rPr>
          <w:bCs/>
        </w:rPr>
        <w:t>Academy of Management Best Papers Proceedings;1994, p297</w:t>
      </w:r>
    </w:p>
  </w:footnote>
  <w:footnote w:id="65">
    <w:p w:rsidR="00EC3485" w:rsidRPr="008F5F55" w:rsidRDefault="00EC3485">
      <w:pPr>
        <w:pStyle w:val="FootnoteText"/>
        <w:rPr>
          <w:lang w:val="en-US"/>
        </w:rPr>
      </w:pPr>
      <w:r>
        <w:rPr>
          <w:rStyle w:val="FootnoteReference"/>
        </w:rPr>
        <w:footnoteRef/>
      </w:r>
      <w:r>
        <w:t xml:space="preserve"> </w:t>
      </w:r>
      <w:r w:rsidRPr="008F5F55">
        <w:rPr>
          <w:lang w:val="en-US"/>
        </w:rPr>
        <w:t xml:space="preserve">Nandini Gupta; </w:t>
      </w:r>
      <w:r>
        <w:rPr>
          <w:lang w:val="en-US"/>
        </w:rPr>
        <w:t>(</w:t>
      </w:r>
      <w:r w:rsidRPr="008F5F55">
        <w:rPr>
          <w:lang w:val="en-US"/>
        </w:rPr>
        <w:t>November, 2010</w:t>
      </w:r>
      <w:r>
        <w:rPr>
          <w:lang w:val="en-US"/>
        </w:rPr>
        <w:t>); Selling</w:t>
      </w:r>
      <w:r w:rsidRPr="008F5F55">
        <w:rPr>
          <w:lang w:val="en-US"/>
        </w:rPr>
        <w:t xml:space="preserve"> the family silver to pay the grocer’s bill? The case of privatization in India.</w:t>
      </w:r>
      <w:r>
        <w:rPr>
          <w:lang w:val="en-US"/>
        </w:rPr>
        <w:t xml:space="preserve">; available at </w:t>
      </w:r>
      <w:hyperlink r:id="rId29" w:history="1">
        <w:r>
          <w:rPr>
            <w:rStyle w:val="Hyperlink"/>
          </w:rPr>
          <w:t>http://www.bus.indiana.edu/nagupta/gupta_nov2010.pdf</w:t>
        </w:r>
      </w:hyperlink>
    </w:p>
  </w:footnote>
  <w:footnote w:id="66">
    <w:p w:rsidR="00EC3485" w:rsidRPr="008F5F55" w:rsidRDefault="00EC3485" w:rsidP="008F5F55">
      <w:pPr>
        <w:pStyle w:val="FootnoteText"/>
      </w:pPr>
      <w:r w:rsidRPr="008F5F55">
        <w:rPr>
          <w:rStyle w:val="FootnoteReference"/>
        </w:rPr>
        <w:footnoteRef/>
      </w:r>
      <w:r w:rsidRPr="008F5F55">
        <w:t xml:space="preserve"> </w:t>
      </w:r>
      <w:r w:rsidRPr="008F5F55">
        <w:rPr>
          <w:bCs/>
          <w:lang w:val="en-US"/>
        </w:rPr>
        <w:t xml:space="preserve">Espirito Santo Securities; </w:t>
      </w:r>
      <w:r>
        <w:rPr>
          <w:bCs/>
          <w:lang w:val="en-US"/>
        </w:rPr>
        <w:t>(</w:t>
      </w:r>
      <w:r w:rsidRPr="008F5F55">
        <w:rPr>
          <w:bCs/>
          <w:lang w:val="en-US"/>
        </w:rPr>
        <w:t>26th March 2012</w:t>
      </w:r>
      <w:r>
        <w:rPr>
          <w:bCs/>
          <w:lang w:val="en-US"/>
        </w:rPr>
        <w:t>);</w:t>
      </w:r>
      <w:r w:rsidRPr="008F5F55">
        <w:rPr>
          <w:bCs/>
          <w:lang w:val="en-US"/>
        </w:rPr>
        <w:t xml:space="preserve"> India’s Governance -Dominant vs. Minority Shareholders</w:t>
      </w:r>
      <w:r>
        <w:rPr>
          <w:bCs/>
          <w:lang w:val="en-US"/>
        </w:rPr>
        <w:t xml:space="preserve">; available at </w:t>
      </w:r>
      <w:hyperlink r:id="rId30" w:history="1">
        <w:r>
          <w:rPr>
            <w:rStyle w:val="Hyperlink"/>
          </w:rPr>
          <w:t>http://thebenchmark.in/wp-content/uploads/2012/03/Espirito_Governance.pdf</w:t>
        </w:r>
      </w:hyperlink>
    </w:p>
    <w:p w:rsidR="00EC3485" w:rsidRPr="008F5F55" w:rsidRDefault="00EC3485" w:rsidP="008F5F55">
      <w:pPr>
        <w:pStyle w:val="FootnoteText"/>
        <w:rPr>
          <w:lang w:val="en-US"/>
        </w:rPr>
      </w:pPr>
    </w:p>
  </w:footnote>
  <w:footnote w:id="67">
    <w:p w:rsidR="00EC3485" w:rsidRPr="00F75063" w:rsidRDefault="00EC3485" w:rsidP="008F5F55">
      <w:pPr>
        <w:pStyle w:val="FootnoteText"/>
        <w:rPr>
          <w:lang w:val="en-US"/>
        </w:rPr>
      </w:pPr>
      <w:r>
        <w:rPr>
          <w:rStyle w:val="FootnoteReference"/>
        </w:rPr>
        <w:footnoteRef/>
      </w:r>
      <w:r>
        <w:t xml:space="preserve"> Id. </w:t>
      </w:r>
      <w:r w:rsidRPr="0028020A">
        <w:rPr>
          <w:lang w:val="en-US"/>
        </w:rPr>
        <w:t>Under Common Law, instituting a suit against Coal India’s directors for breach of fiduciary duty seems the only viable option</w:t>
      </w:r>
      <w:r>
        <w:rPr>
          <w:lang w:val="en-US"/>
        </w:rPr>
        <w:t xml:space="preserve"> and ci</w:t>
      </w:r>
      <w:r w:rsidRPr="0028020A">
        <w:rPr>
          <w:lang w:val="en-US"/>
        </w:rPr>
        <w:t>vil courts would have jurisdiction over this</w:t>
      </w:r>
      <w:r>
        <w:rPr>
          <w:lang w:val="en-US"/>
        </w:rPr>
        <w:t xml:space="preserve"> matter</w:t>
      </w:r>
      <w:r w:rsidRPr="0028020A">
        <w:rPr>
          <w:lang w:val="en-US"/>
        </w:rPr>
        <w:t>.</w:t>
      </w:r>
      <w:r>
        <w:rPr>
          <w:lang w:val="en-US"/>
        </w:rPr>
        <w:t xml:space="preserve"> However, </w:t>
      </w:r>
      <w:r w:rsidRPr="0028020A">
        <w:rPr>
          <w:lang w:val="en-US"/>
        </w:rPr>
        <w:t xml:space="preserve">any suit will be a long, drawn out, unwieldy process, technical in nature and difficult to achieve the purpose of directing the company to reverse a decision not in interests of the company. Civil courts will not interfere in what a company (as decided by majority shareholders) has chosen to decide legally. Sections 235/236 of the Companies Act are out of question as the Government will not initiate an investigation against itself, but many of the other routes under company law cited above are open to TCI. But all references to the case so far have cited ‘legal action against directors’ which suggests the common law route. </w:t>
      </w:r>
    </w:p>
  </w:footnote>
  <w:footnote w:id="68">
    <w:p w:rsidR="00EC3485" w:rsidRDefault="00EC3485" w:rsidP="008F5F55">
      <w:pPr>
        <w:pStyle w:val="FootnoteText"/>
        <w:rPr>
          <w:lang w:val="en-US"/>
        </w:rPr>
      </w:pPr>
      <w:r>
        <w:rPr>
          <w:rStyle w:val="FootnoteReference"/>
        </w:rPr>
        <w:footnoteRef/>
      </w:r>
      <w:r>
        <w:t xml:space="preserve"> In its </w:t>
      </w:r>
      <w:r w:rsidRPr="00A11FA0">
        <w:rPr>
          <w:lang w:val="en-US"/>
        </w:rPr>
        <w:t xml:space="preserve">Draft Red Herring Prospectus (DRHP), issued at the time of the IPO, </w:t>
      </w:r>
      <w:r>
        <w:rPr>
          <w:lang w:val="en-US"/>
        </w:rPr>
        <w:t xml:space="preserve">Coal India had fully disclosed </w:t>
      </w:r>
      <w:r w:rsidRPr="00A11FA0">
        <w:rPr>
          <w:lang w:val="en-US"/>
        </w:rPr>
        <w:t>the</w:t>
      </w:r>
      <w:r>
        <w:rPr>
          <w:lang w:val="en-US"/>
        </w:rPr>
        <w:t>se</w:t>
      </w:r>
      <w:r w:rsidRPr="00A11FA0">
        <w:rPr>
          <w:lang w:val="en-US"/>
        </w:rPr>
        <w:t xml:space="preserve"> risks</w:t>
      </w:r>
      <w:r>
        <w:rPr>
          <w:lang w:val="en-US"/>
        </w:rPr>
        <w:t xml:space="preserve"> (the</w:t>
      </w:r>
      <w:r w:rsidRPr="00A11FA0">
        <w:rPr>
          <w:lang w:val="en-US"/>
        </w:rPr>
        <w:t xml:space="preserve"> risk</w:t>
      </w:r>
      <w:r>
        <w:rPr>
          <w:lang w:val="en-US"/>
        </w:rPr>
        <w:t xml:space="preserve"> that Coal India</w:t>
      </w:r>
      <w:r w:rsidRPr="00A11FA0">
        <w:t xml:space="preserve"> </w:t>
      </w:r>
      <w:r w:rsidRPr="002706B8">
        <w:t>sell</w:t>
      </w:r>
      <w:r>
        <w:t xml:space="preserve">s </w:t>
      </w:r>
      <w:r w:rsidRPr="002706B8">
        <w:t>coal at prices lower than the prices in the international coal markets</w:t>
      </w:r>
      <w:r>
        <w:t xml:space="preserve"> and that t</w:t>
      </w:r>
      <w:r w:rsidRPr="002706B8">
        <w:t xml:space="preserve">he interests of the GoI as </w:t>
      </w:r>
      <w:r>
        <w:t>its</w:t>
      </w:r>
      <w:r w:rsidRPr="002706B8">
        <w:t xml:space="preserve"> controlling shareholder may conflict with interests </w:t>
      </w:r>
      <w:r>
        <w:t>of other</w:t>
      </w:r>
      <w:r w:rsidRPr="002706B8">
        <w:t xml:space="preserve"> shareholder</w:t>
      </w:r>
      <w:r>
        <w:t>s)</w:t>
      </w:r>
      <w:r w:rsidRPr="00A11FA0">
        <w:rPr>
          <w:lang w:val="en-US"/>
        </w:rPr>
        <w:t xml:space="preserve"> were disclosed in the DRHP in a transparent manner in Clauses 17 and 55 under the section on Risk Factors</w:t>
      </w:r>
      <w:r>
        <w:rPr>
          <w:lang w:val="en-US"/>
        </w:rPr>
        <w:t>. It</w:t>
      </w:r>
      <w:r w:rsidRPr="00A11FA0">
        <w:rPr>
          <w:lang w:val="en-US"/>
        </w:rPr>
        <w:t xml:space="preserve"> </w:t>
      </w:r>
      <w:r>
        <w:rPr>
          <w:lang w:val="en-US"/>
        </w:rPr>
        <w:t xml:space="preserve">can be </w:t>
      </w:r>
      <w:r w:rsidRPr="00A11FA0">
        <w:rPr>
          <w:lang w:val="en-US"/>
        </w:rPr>
        <w:t>argued that prospective investors were fully aware of these risks when they invested and had no rights to complain at a subsequent date.</w:t>
      </w:r>
      <w:r>
        <w:rPr>
          <w:lang w:val="en-US"/>
        </w:rPr>
        <w:t xml:space="preserve"> </w:t>
      </w:r>
    </w:p>
    <w:p w:rsidR="00EC3485" w:rsidRDefault="00EC3485" w:rsidP="008F5F55">
      <w:pPr>
        <w:pStyle w:val="FootnoteText"/>
      </w:pPr>
      <w:r>
        <w:t xml:space="preserve">Please refer to the Coal India DRHP available at  </w:t>
      </w:r>
      <w:hyperlink r:id="rId31" w:history="1">
        <w:r>
          <w:rPr>
            <w:rStyle w:val="Hyperlink"/>
          </w:rPr>
          <w:t>http://www.sebi.gov.in/dp/coaldrhp.pdf</w:t>
        </w:r>
      </w:hyperlink>
    </w:p>
    <w:p w:rsidR="00EC3485" w:rsidRPr="003C51CB" w:rsidRDefault="00EC3485" w:rsidP="008F5F55">
      <w:pPr>
        <w:pStyle w:val="FootnoteText"/>
        <w:rPr>
          <w:lang w:val="en-US"/>
        </w:rPr>
      </w:pPr>
      <w:r>
        <w:rPr>
          <w:lang w:val="en-US"/>
        </w:rPr>
        <w:t xml:space="preserve">However, </w:t>
      </w:r>
      <w:r w:rsidRPr="0028020A">
        <w:rPr>
          <w:lang w:val="en-US"/>
        </w:rPr>
        <w:t>whi</w:t>
      </w:r>
      <w:r>
        <w:rPr>
          <w:lang w:val="en-US"/>
        </w:rPr>
        <w:t>le</w:t>
      </w:r>
      <w:r w:rsidRPr="0028020A">
        <w:rPr>
          <w:lang w:val="en-US"/>
        </w:rPr>
        <w:t xml:space="preserve"> the DRHP disclaimer may appear to offer protection to CIL/its directors (given the disclosure that coal may not be priced at levels that would adversely impact the power sector or Indian economy), this only goes so far, as a DRHP disclaimer cannot protect CIL against the specific provisions of law giving minority shareholders an opportunity to prove </w:t>
      </w:r>
      <w:r>
        <w:rPr>
          <w:lang w:val="en-US"/>
        </w:rPr>
        <w:t>o</w:t>
      </w:r>
      <w:r w:rsidRPr="0028020A">
        <w:rPr>
          <w:lang w:val="en-US"/>
        </w:rPr>
        <w:t>ppression/mismanagement and obtain relief. If that were the case, it would amount of ‘contracting out of law’.</w:t>
      </w:r>
    </w:p>
  </w:footnote>
  <w:footnote w:id="69">
    <w:p w:rsidR="00EC3485" w:rsidRDefault="00EC3485" w:rsidP="006163CB">
      <w:pPr>
        <w:pStyle w:val="FootnoteText"/>
      </w:pPr>
      <w:r>
        <w:rPr>
          <w:rStyle w:val="FootnoteReference"/>
        </w:rPr>
        <w:footnoteRef/>
      </w:r>
      <w:r>
        <w:t xml:space="preserve"> The Children’s Investment Fund ;( April 2012);</w:t>
      </w:r>
      <w:r w:rsidRPr="00B21C51">
        <w:t xml:space="preserve"> Cheap Coal Does Not Benefit </w:t>
      </w:r>
      <w:r>
        <w:t>t</w:t>
      </w:r>
      <w:r w:rsidRPr="00B21C51">
        <w:t>he Indian People</w:t>
      </w:r>
      <w:r>
        <w:t xml:space="preserve"> available at:  </w:t>
      </w:r>
      <w:hyperlink r:id="rId32" w:history="1">
        <w:r>
          <w:rPr>
            <w:rStyle w:val="Hyperlink"/>
          </w:rPr>
          <w:t>http://coal4india.com/Coal4India/(S(ciyyxscp53aq0dd40r3wramy))/c4i10.pdf</w:t>
        </w:r>
      </w:hyperlink>
      <w:r>
        <w:t>.</w:t>
      </w:r>
    </w:p>
    <w:p w:rsidR="00EC3485" w:rsidRDefault="00EC3485" w:rsidP="00B21C51">
      <w:pPr>
        <w:pStyle w:val="FootnoteText"/>
      </w:pPr>
      <w:r>
        <w:t>In the 2G Spectrum Licences Judgment, the Indian Supreme Court has emphasised that, “natural resources are vested with the Government as a matter of trust in the name of the people of India, thus it is the solemn duty of the State to protect the national interest and natural resources must always be used in the interests of the country and not private interests”.</w:t>
      </w:r>
    </w:p>
    <w:p w:rsidR="00EC3485" w:rsidRPr="00B21C51" w:rsidRDefault="00EC3485" w:rsidP="00B21C51">
      <w:pPr>
        <w:pStyle w:val="FootnoteText"/>
        <w:rPr>
          <w:lang w:val="en-US"/>
        </w:rPr>
      </w:pPr>
      <w:r>
        <w:t>However, t</w:t>
      </w:r>
      <w:r w:rsidRPr="00B21C51">
        <w:t>he Indian Supreme Court in the matter of Ashoka Smokeless Coal India (P) Ltd. v. Union of India reported at (2007) 2 SCC 640 has taken strong exception to the Central Governments’ interference in coal pricing. The court noted: “The coal companies evolve price fixation but admittedly, they have been doing so at the instance of the Central Government. The Central Government seeks to exercise its statutory power. Such a power, however, is confined to four corners of the 2000 Order. When there is no control over the price, the Central Government is forbidden to issue any direction that will have an impact there over.”</w:t>
      </w:r>
    </w:p>
  </w:footnote>
  <w:footnote w:id="70">
    <w:p w:rsidR="00EC3485" w:rsidRPr="00F51925" w:rsidRDefault="00EC3485">
      <w:pPr>
        <w:pStyle w:val="FootnoteText"/>
        <w:rPr>
          <w:lang w:val="en-US"/>
        </w:rPr>
      </w:pPr>
      <w:r w:rsidRPr="00F51925">
        <w:rPr>
          <w:rStyle w:val="FootnoteReference"/>
        </w:rPr>
        <w:footnoteRef/>
      </w:r>
      <w:r w:rsidRPr="00F51925">
        <w:t xml:space="preserve"> </w:t>
      </w:r>
      <w:r w:rsidRPr="00F51925">
        <w:rPr>
          <w:bCs/>
        </w:rPr>
        <w:t xml:space="preserve">Business Standard, </w:t>
      </w:r>
      <w:r>
        <w:rPr>
          <w:bCs/>
        </w:rPr>
        <w:t>(</w:t>
      </w:r>
      <w:r w:rsidRPr="00F51925">
        <w:rPr>
          <w:rFonts w:ascii="Arial" w:hAnsi="Arial" w:cs="Arial"/>
          <w:bCs/>
          <w:color w:val="000000"/>
          <w:sz w:val="17"/>
          <w:szCs w:val="17"/>
          <w:shd w:val="clear" w:color="auto" w:fill="FFFFFF"/>
        </w:rPr>
        <w:t>Mar 26, 2012</w:t>
      </w:r>
      <w:r>
        <w:rPr>
          <w:rFonts w:ascii="Arial" w:hAnsi="Arial" w:cs="Arial"/>
          <w:bCs/>
          <w:color w:val="000000"/>
          <w:sz w:val="17"/>
          <w:szCs w:val="17"/>
          <w:shd w:val="clear" w:color="auto" w:fill="FFFFFF"/>
        </w:rPr>
        <w:t>);</w:t>
      </w:r>
      <w:r w:rsidRPr="00F51925">
        <w:rPr>
          <w:bCs/>
        </w:rPr>
        <w:t xml:space="preserve"> Cash-rich PSUs shower dividends on govt;</w:t>
      </w:r>
      <w:r>
        <w:rPr>
          <w:bCs/>
        </w:rPr>
        <w:t xml:space="preserve"> available at</w:t>
      </w:r>
      <w:r w:rsidRPr="00F51925">
        <w:rPr>
          <w:bCs/>
        </w:rPr>
        <w:t xml:space="preserve"> </w:t>
      </w:r>
      <w:hyperlink r:id="rId33" w:history="1">
        <w:r>
          <w:rPr>
            <w:rStyle w:val="Hyperlink"/>
          </w:rPr>
          <w:t>http://www.business-standard.com/india/news/cash-rich-psus-shower-dividendsgovt/469010/</w:t>
        </w:r>
      </w:hyperlink>
      <w:r>
        <w:t>. As reported, the GoI</w:t>
      </w:r>
      <w:r w:rsidRPr="00531D98">
        <w:t xml:space="preserve"> received a windfall of more than Rs 16,000 crore by way of interim dividends from public sector undertakings (PSUs) in the financial year 2011-12.</w:t>
      </w:r>
    </w:p>
  </w:footnote>
  <w:footnote w:id="71">
    <w:p w:rsidR="00EC3485" w:rsidRPr="00673C8B" w:rsidRDefault="00EC3485">
      <w:pPr>
        <w:pStyle w:val="FootnoteText"/>
        <w:rPr>
          <w:lang w:val="en-US"/>
        </w:rPr>
      </w:pPr>
      <w:r>
        <w:rPr>
          <w:rStyle w:val="FootnoteReference"/>
        </w:rPr>
        <w:footnoteRef/>
      </w:r>
      <w:r>
        <w:t xml:space="preserve"> </w:t>
      </w:r>
      <w:r>
        <w:rPr>
          <w:lang w:val="en-US"/>
        </w:rPr>
        <w:t xml:space="preserve">Available at </w:t>
      </w:r>
      <w:hyperlink r:id="rId34" w:history="1">
        <w:r>
          <w:rPr>
            <w:rStyle w:val="Hyperlink"/>
          </w:rPr>
          <w:t>http://www.ongcindia.com/invest_div_pol.asp</w:t>
        </w:r>
      </w:hyperlink>
      <w:r>
        <w:t>.</w:t>
      </w:r>
    </w:p>
  </w:footnote>
  <w:footnote w:id="72">
    <w:p w:rsidR="00EC3485" w:rsidRPr="00D1314F" w:rsidRDefault="00EC3485">
      <w:pPr>
        <w:pStyle w:val="FootnoteText"/>
        <w:rPr>
          <w:lang w:val="en-US"/>
        </w:rPr>
      </w:pPr>
      <w:r>
        <w:rPr>
          <w:rStyle w:val="FootnoteReference"/>
        </w:rPr>
        <w:footnoteRef/>
      </w:r>
      <w:r>
        <w:t xml:space="preserve"> Id.</w:t>
      </w:r>
    </w:p>
  </w:footnote>
  <w:footnote w:id="73">
    <w:p w:rsidR="00EC3485" w:rsidRPr="00D638B0" w:rsidRDefault="00EC3485">
      <w:pPr>
        <w:pStyle w:val="FootnoteText"/>
        <w:rPr>
          <w:lang w:val="en-US"/>
        </w:rPr>
      </w:pPr>
      <w:r>
        <w:rPr>
          <w:rStyle w:val="FootnoteReference"/>
        </w:rPr>
        <w:footnoteRef/>
      </w:r>
      <w:r>
        <w:t xml:space="preserve"> </w:t>
      </w:r>
      <w:hyperlink r:id="rId35" w:history="1">
        <w:r w:rsidRPr="00797733">
          <w:rPr>
            <w:rStyle w:val="Hyperlink"/>
          </w:rPr>
          <w:t>http://www.ongcindia.com/download/Annualreports/ONGC_Annual_Report_10-11.pdf</w:t>
        </w:r>
      </w:hyperlink>
    </w:p>
  </w:footnote>
  <w:footnote w:id="74">
    <w:p w:rsidR="00EC3485" w:rsidRPr="000E56C2" w:rsidRDefault="00EC3485">
      <w:pPr>
        <w:pStyle w:val="FootnoteText"/>
        <w:rPr>
          <w:lang w:val="en-US"/>
        </w:rPr>
      </w:pPr>
      <w:r>
        <w:rPr>
          <w:rStyle w:val="FootnoteReference"/>
        </w:rPr>
        <w:footnoteRef/>
      </w:r>
      <w:r>
        <w:t xml:space="preserve"> Supra. Note No. 12</w:t>
      </w:r>
    </w:p>
  </w:footnote>
  <w:footnote w:id="75">
    <w:p w:rsidR="00EC3485" w:rsidRPr="00673C8B" w:rsidRDefault="00EC3485">
      <w:pPr>
        <w:pStyle w:val="FootnoteText"/>
        <w:rPr>
          <w:lang w:val="en-US"/>
        </w:rPr>
      </w:pPr>
      <w:r>
        <w:rPr>
          <w:rStyle w:val="FootnoteReference"/>
        </w:rPr>
        <w:footnoteRef/>
      </w:r>
      <w:r>
        <w:t xml:space="preserve"> </w:t>
      </w:r>
      <w:r>
        <w:rPr>
          <w:lang w:val="en-US"/>
        </w:rPr>
        <w:t xml:space="preserve">Available at </w:t>
      </w:r>
      <w:hyperlink r:id="rId36" w:history="1">
        <w:r>
          <w:rPr>
            <w:rStyle w:val="Hyperlink"/>
          </w:rPr>
          <w:t>http://coal4india.com/Coal4India/c4i5.pdf</w:t>
        </w:r>
      </w:hyperlink>
      <w:r>
        <w:t>.</w:t>
      </w:r>
      <w:r>
        <w:rPr>
          <w:lang w:val="en-US"/>
        </w:rPr>
        <w:t xml:space="preserve"> </w:t>
      </w:r>
    </w:p>
  </w:footnote>
  <w:footnote w:id="76">
    <w:p w:rsidR="00EC3485" w:rsidRPr="00B82527" w:rsidRDefault="00EC3485" w:rsidP="00B82527">
      <w:pPr>
        <w:pStyle w:val="FootnoteText"/>
        <w:rPr>
          <w:lang w:val="en-US"/>
        </w:rPr>
      </w:pPr>
      <w:r>
        <w:rPr>
          <w:rStyle w:val="FootnoteReference"/>
        </w:rPr>
        <w:footnoteRef/>
      </w:r>
      <w:r>
        <w:t xml:space="preserve"> Refer to the subsequent developments at:</w:t>
      </w:r>
      <w:r w:rsidRPr="00B82527">
        <w:rPr>
          <w:lang w:val="en-US"/>
        </w:rPr>
        <w:t> </w:t>
      </w:r>
    </w:p>
    <w:p w:rsidR="00EC3485" w:rsidRPr="006C38AA" w:rsidRDefault="00FC6208">
      <w:pPr>
        <w:pStyle w:val="FootnoteText"/>
        <w:rPr>
          <w:lang w:val="en-US"/>
        </w:rPr>
      </w:pPr>
      <w:hyperlink r:id="rId37" w:history="1">
        <w:r w:rsidR="00EC3485" w:rsidRPr="00797733">
          <w:rPr>
            <w:rStyle w:val="Hyperlink"/>
          </w:rPr>
          <w:t>http://www.livemint.com/2012/04/17002802/CIL-board-cuts-penalty-on-fuel.html</w:t>
        </w:r>
      </w:hyperlink>
    </w:p>
  </w:footnote>
  <w:footnote w:id="77">
    <w:p w:rsidR="00EC3485" w:rsidRPr="00B21C51" w:rsidRDefault="00EC3485">
      <w:pPr>
        <w:pStyle w:val="FootnoteText"/>
        <w:rPr>
          <w:lang w:val="en-US"/>
        </w:rPr>
      </w:pPr>
      <w:r>
        <w:rPr>
          <w:rStyle w:val="FootnoteReference"/>
        </w:rPr>
        <w:footnoteRef/>
      </w:r>
      <w:r>
        <w:t xml:space="preserve"> The w</w:t>
      </w:r>
      <w:r w:rsidRPr="00B82527">
        <w:t xml:space="preserve">ritten notification of a dispute </w:t>
      </w:r>
      <w:r>
        <w:t xml:space="preserve">raised by TCIF, </w:t>
      </w:r>
      <w:r w:rsidRPr="00B82527">
        <w:t xml:space="preserve">arising under the agreement between the Government of the Republic of India and the Government of the Republic of Cyprus for the </w:t>
      </w:r>
      <w:r>
        <w:t>m</w:t>
      </w:r>
      <w:r w:rsidRPr="00B82527">
        <w:t xml:space="preserve">utual </w:t>
      </w:r>
      <w:r>
        <w:t>p</w:t>
      </w:r>
      <w:r w:rsidRPr="00B82527">
        <w:t xml:space="preserve">romotion and </w:t>
      </w:r>
      <w:r>
        <w:t>p</w:t>
      </w:r>
      <w:r w:rsidRPr="00B82527">
        <w:t xml:space="preserve">rotection of </w:t>
      </w:r>
      <w:r>
        <w:t>I</w:t>
      </w:r>
      <w:r w:rsidRPr="00B82527">
        <w:t>nvestments</w:t>
      </w:r>
      <w:r>
        <w:t xml:space="preserve">, is available at: </w:t>
      </w:r>
      <w:hyperlink r:id="rId38" w:history="1">
        <w:r>
          <w:rPr>
            <w:rStyle w:val="Hyperlink"/>
          </w:rPr>
          <w:t>http://coal4india.com/Coal4India/Letter16052012.aspx</w:t>
        </w:r>
      </w:hyperlink>
    </w:p>
  </w:footnote>
  <w:footnote w:id="78">
    <w:p w:rsidR="00EC3485" w:rsidRPr="00AB4AE5" w:rsidRDefault="00EC3485" w:rsidP="00AB4AE5">
      <w:pPr>
        <w:pStyle w:val="FootnoteText"/>
        <w:rPr>
          <w:lang w:val="en-US"/>
        </w:rPr>
      </w:pPr>
      <w:r>
        <w:rPr>
          <w:rStyle w:val="FootnoteReference"/>
        </w:rPr>
        <w:footnoteRef/>
      </w:r>
      <w:r>
        <w:t xml:space="preserve"> A premature and poorly conceived </w:t>
      </w:r>
      <w:r w:rsidRPr="00AB4AE5">
        <w:rPr>
          <w:lang w:val="en-US"/>
        </w:rPr>
        <w:t xml:space="preserve">merger announcement </w:t>
      </w:r>
      <w:r>
        <w:rPr>
          <w:lang w:val="en-US"/>
        </w:rPr>
        <w:t xml:space="preserve">in 2002 </w:t>
      </w:r>
      <w:r w:rsidRPr="00AB4AE5">
        <w:rPr>
          <w:lang w:val="en-US"/>
        </w:rPr>
        <w:t>knock</w:t>
      </w:r>
      <w:r>
        <w:rPr>
          <w:lang w:val="en-US"/>
        </w:rPr>
        <w:t>ed</w:t>
      </w:r>
      <w:r w:rsidRPr="00AB4AE5">
        <w:rPr>
          <w:lang w:val="en-US"/>
        </w:rPr>
        <w:t xml:space="preserve"> off close to 40 per cent of the value</w:t>
      </w:r>
      <w:r>
        <w:rPr>
          <w:lang w:val="en-US"/>
        </w:rPr>
        <w:t xml:space="preserve"> of the MTNL stock</w:t>
      </w:r>
      <w:r w:rsidRPr="00AB4AE5">
        <w:rPr>
          <w:lang w:val="en-US"/>
        </w:rPr>
        <w:t xml:space="preserve"> and push</w:t>
      </w:r>
      <w:r>
        <w:rPr>
          <w:lang w:val="en-US"/>
        </w:rPr>
        <w:t>ed</w:t>
      </w:r>
      <w:r w:rsidRPr="00AB4AE5">
        <w:rPr>
          <w:lang w:val="en-US"/>
        </w:rPr>
        <w:t xml:space="preserve"> </w:t>
      </w:r>
      <w:r>
        <w:rPr>
          <w:lang w:val="en-US"/>
        </w:rPr>
        <w:t>it</w:t>
      </w:r>
      <w:r w:rsidRPr="00AB4AE5">
        <w:rPr>
          <w:lang w:val="en-US"/>
        </w:rPr>
        <w:t xml:space="preserve"> to well below Rs 100. </w:t>
      </w:r>
      <w:r>
        <w:rPr>
          <w:lang w:val="en-US"/>
        </w:rPr>
        <w:t>Subsequent to the announcement, m</w:t>
      </w:r>
      <w:r w:rsidRPr="00AB4AE5">
        <w:rPr>
          <w:lang w:val="en-US"/>
        </w:rPr>
        <w:t>ost institutional investors without a government connection  sold</w:t>
      </w:r>
      <w:r>
        <w:rPr>
          <w:lang w:val="en-US"/>
        </w:rPr>
        <w:t>; refer to:</w:t>
      </w:r>
      <w:r w:rsidRPr="001F19CE">
        <w:t xml:space="preserve"> </w:t>
      </w:r>
      <w:hyperlink r:id="rId39" w:history="1">
        <w:r>
          <w:rPr>
            <w:rStyle w:val="Hyperlink"/>
          </w:rPr>
          <w:t>http://www.thehindubusinessline.in/iw/2002/11/17/stories/2002111700040800.htm</w:t>
        </w:r>
      </w:hyperlink>
    </w:p>
    <w:p w:rsidR="00EC3485" w:rsidRPr="00AB4AE5" w:rsidRDefault="00EC3485">
      <w:pPr>
        <w:pStyle w:val="FootnoteText"/>
        <w:rPr>
          <w:lang w:val="en-US"/>
        </w:rPr>
      </w:pPr>
    </w:p>
  </w:footnote>
  <w:footnote w:id="79">
    <w:p w:rsidR="00EC3485" w:rsidRDefault="00EC3485" w:rsidP="00BC53B4">
      <w:pPr>
        <w:pStyle w:val="FootnoteText"/>
        <w:spacing w:line="276" w:lineRule="auto"/>
        <w:rPr>
          <w:rFonts w:eastAsia="Times New Roman" w:cstheme="minorHAnsi"/>
          <w:lang w:val="en-US" w:eastAsia="en-US"/>
        </w:rPr>
      </w:pPr>
      <w:r>
        <w:rPr>
          <w:rStyle w:val="FootnoteReference"/>
        </w:rPr>
        <w:footnoteRef/>
      </w:r>
      <w:r>
        <w:t xml:space="preserve"> As per an official statement, released on June 3, 2012 by the CMDs of IOC, HPCL and BPCL, the t</w:t>
      </w:r>
      <w:r w:rsidRPr="00115007">
        <w:rPr>
          <w:rFonts w:eastAsia="Times New Roman" w:cstheme="minorHAnsi"/>
          <w:lang w:val="en-US" w:eastAsia="en-US"/>
        </w:rPr>
        <w:t xml:space="preserve">hree </w:t>
      </w:r>
      <w:r>
        <w:rPr>
          <w:rFonts w:eastAsia="Times New Roman" w:cstheme="minorHAnsi"/>
          <w:lang w:val="en-US" w:eastAsia="en-US"/>
        </w:rPr>
        <w:t>oil marketing companies (OMCs)</w:t>
      </w:r>
      <w:r w:rsidRPr="00115007">
        <w:rPr>
          <w:rFonts w:eastAsia="Times New Roman" w:cstheme="minorHAnsi"/>
          <w:lang w:val="en-US" w:eastAsia="en-US"/>
        </w:rPr>
        <w:t xml:space="preserve"> together had a combined turnover of Rs. 8, 33,000 crore</w:t>
      </w:r>
      <w:r>
        <w:rPr>
          <w:rFonts w:eastAsia="Times New Roman" w:cstheme="minorHAnsi"/>
          <w:lang w:val="en-US" w:eastAsia="en-US"/>
        </w:rPr>
        <w:t>s</w:t>
      </w:r>
      <w:r w:rsidRPr="00115007">
        <w:rPr>
          <w:rFonts w:eastAsia="Times New Roman" w:cstheme="minorHAnsi"/>
          <w:lang w:val="en-US" w:eastAsia="en-US"/>
        </w:rPr>
        <w:t xml:space="preserve"> during 2011-12. Against this, they had declared a combined profit of mere Rs. 6177 core, which is only 0.7% of their turnover. This level of profit is not adequate for OMCs to enable them to incur huge expenditure on continuous modernization, making available environmentally compliant fuels, laying of pipelines, enhancing storage, and development of other infrastructure.</w:t>
      </w:r>
      <w:r>
        <w:rPr>
          <w:rFonts w:eastAsia="Times New Roman" w:cstheme="minorHAnsi"/>
          <w:lang w:val="en-US" w:eastAsia="en-US"/>
        </w:rPr>
        <w:t xml:space="preserve"> </w:t>
      </w:r>
    </w:p>
    <w:p w:rsidR="00EC3485" w:rsidRDefault="00EC3485" w:rsidP="00BC53B4">
      <w:pPr>
        <w:pStyle w:val="FootnoteText"/>
        <w:spacing w:line="276" w:lineRule="auto"/>
        <w:rPr>
          <w:rFonts w:eastAsia="Times New Roman" w:cstheme="minorHAnsi"/>
          <w:lang w:val="en-US" w:eastAsia="en-US"/>
        </w:rPr>
      </w:pPr>
      <w:r>
        <w:rPr>
          <w:rFonts w:eastAsia="Times New Roman" w:cstheme="minorHAnsi"/>
          <w:lang w:val="en-US" w:eastAsia="en-US"/>
        </w:rPr>
        <w:t xml:space="preserve">The joint statement also pointed out that </w:t>
      </w:r>
      <w:r w:rsidRPr="00115007">
        <w:rPr>
          <w:rFonts w:eastAsia="Times New Roman" w:cstheme="minorHAnsi"/>
          <w:lang w:val="en-US" w:eastAsia="en-US"/>
        </w:rPr>
        <w:t xml:space="preserve">the OMCs </w:t>
      </w:r>
      <w:r>
        <w:rPr>
          <w:rFonts w:eastAsia="Times New Roman" w:cstheme="minorHAnsi"/>
          <w:lang w:val="en-US" w:eastAsia="en-US"/>
        </w:rPr>
        <w:t xml:space="preserve">need to be </w:t>
      </w:r>
      <w:r w:rsidRPr="00115007">
        <w:rPr>
          <w:rFonts w:eastAsia="Times New Roman" w:cstheme="minorHAnsi"/>
          <w:lang w:val="en-US" w:eastAsia="en-US"/>
        </w:rPr>
        <w:t xml:space="preserve">enabled to announce at least nominal profits </w:t>
      </w:r>
      <w:r>
        <w:rPr>
          <w:rFonts w:eastAsia="Times New Roman" w:cstheme="minorHAnsi"/>
          <w:lang w:val="en-US" w:eastAsia="en-US"/>
        </w:rPr>
        <w:t xml:space="preserve">so as to ensure that they maintain </w:t>
      </w:r>
      <w:r w:rsidRPr="00115007">
        <w:rPr>
          <w:rFonts w:eastAsia="Times New Roman" w:cstheme="minorHAnsi"/>
          <w:lang w:val="en-US" w:eastAsia="en-US"/>
        </w:rPr>
        <w:t>their blue chip status and credit ratings at the global level.</w:t>
      </w:r>
    </w:p>
    <w:p w:rsidR="00EC3485" w:rsidRPr="00B00C45" w:rsidRDefault="00EC3485" w:rsidP="00BC53B4">
      <w:pPr>
        <w:pStyle w:val="FootnoteText"/>
        <w:spacing w:line="276" w:lineRule="auto"/>
        <w:rPr>
          <w:lang w:val="en-US"/>
        </w:rPr>
      </w:pPr>
      <w:r>
        <w:rPr>
          <w:rFonts w:eastAsia="Times New Roman" w:cstheme="minorHAnsi"/>
          <w:lang w:val="en-US" w:eastAsia="en-US"/>
        </w:rPr>
        <w:t xml:space="preserve">Available at </w:t>
      </w:r>
      <w:hyperlink r:id="rId40" w:history="1">
        <w:r>
          <w:rPr>
            <w:rStyle w:val="Hyperlink"/>
          </w:rPr>
          <w:t>http://www.hindustanpetroleum.com/En/UI/PressnMedia.aspx?Id=164</w:t>
        </w:r>
      </w:hyperlink>
      <w:r>
        <w:t>.</w:t>
      </w:r>
    </w:p>
  </w:footnote>
  <w:footnote w:id="80">
    <w:p w:rsidR="00EC3485" w:rsidRPr="00550194" w:rsidRDefault="00EC3485">
      <w:pPr>
        <w:pStyle w:val="FootnoteText"/>
        <w:rPr>
          <w:lang w:val="en-US"/>
        </w:rPr>
      </w:pPr>
      <w:r>
        <w:rPr>
          <w:rStyle w:val="FootnoteReference"/>
        </w:rPr>
        <w:footnoteRef/>
      </w:r>
      <w:r>
        <w:t xml:space="preserve"> </w:t>
      </w:r>
      <w:hyperlink r:id="rId41" w:history="1">
        <w:r w:rsidRPr="00813EB8">
          <w:rPr>
            <w:rStyle w:val="Hyperlink"/>
          </w:rPr>
          <w:t>http://www.firstpost.com/business/when-will-pranab-stop-the-loot-of-oil-companies-317188.html;May</w:t>
        </w:r>
      </w:hyperlink>
      <w:r>
        <w:t xml:space="preserve">; (22, 2012); Firstpost.Business: </w:t>
      </w:r>
      <w:r w:rsidRPr="00550194">
        <w:rPr>
          <w:bCs/>
          <w:lang w:val="en-US"/>
        </w:rPr>
        <w:t>When will Pranab stop the loot of oil companies?</w:t>
      </w:r>
    </w:p>
  </w:footnote>
  <w:footnote w:id="81">
    <w:p w:rsidR="00EC3485" w:rsidRPr="00B00C45" w:rsidRDefault="00EC3485">
      <w:pPr>
        <w:pStyle w:val="FootnoteText"/>
        <w:rPr>
          <w:lang w:val="en-US"/>
        </w:rPr>
      </w:pPr>
      <w:r>
        <w:rPr>
          <w:rStyle w:val="FootnoteReference"/>
        </w:rPr>
        <w:footnoteRef/>
      </w:r>
      <w:r>
        <w:t>Supra, Refer Note 78.</w:t>
      </w:r>
    </w:p>
  </w:footnote>
  <w:footnote w:id="82">
    <w:p w:rsidR="00EC3485" w:rsidRPr="00EF31D8" w:rsidRDefault="00EC3485" w:rsidP="00EF31D8">
      <w:pPr>
        <w:spacing w:after="0"/>
        <w:rPr>
          <w:sz w:val="20"/>
          <w:szCs w:val="20"/>
          <w:lang w:val="en-US"/>
        </w:rPr>
      </w:pPr>
      <w:r>
        <w:rPr>
          <w:rStyle w:val="FootnoteReference"/>
        </w:rPr>
        <w:footnoteRef/>
      </w:r>
      <w:r>
        <w:t xml:space="preserve"> </w:t>
      </w:r>
      <w:hyperlink r:id="rId42" w:history="1">
        <w:r w:rsidRPr="00EF31D8">
          <w:rPr>
            <w:rStyle w:val="Hyperlink"/>
            <w:sz w:val="20"/>
            <w:szCs w:val="20"/>
          </w:rPr>
          <w:t>http://www.rediff.com/money/2009/mar/05goldman-sachs-raises-corporate-governance-issues-with-ongc.htm</w:t>
        </w:r>
      </w:hyperlink>
      <w:r w:rsidRPr="00EF31D8">
        <w:rPr>
          <w:sz w:val="20"/>
          <w:szCs w:val="20"/>
        </w:rPr>
        <w:t>.</w:t>
      </w:r>
      <w:r>
        <w:rPr>
          <w:sz w:val="20"/>
          <w:szCs w:val="20"/>
        </w:rPr>
        <w:t xml:space="preserve"> I</w:t>
      </w:r>
      <w:r w:rsidRPr="00EF31D8">
        <w:rPr>
          <w:sz w:val="20"/>
          <w:szCs w:val="20"/>
          <w:lang w:val="en-US"/>
        </w:rPr>
        <w:t>n its research report dated 5 March 2009</w:t>
      </w:r>
      <w:r>
        <w:rPr>
          <w:sz w:val="20"/>
          <w:szCs w:val="20"/>
          <w:lang w:val="en-US"/>
        </w:rPr>
        <w:t xml:space="preserve"> </w:t>
      </w:r>
      <w:r w:rsidRPr="00EF31D8">
        <w:rPr>
          <w:sz w:val="20"/>
          <w:szCs w:val="20"/>
          <w:lang w:val="en-US"/>
        </w:rPr>
        <w:t>Goldman Sachs reiterated a 'sell' on the</w:t>
      </w:r>
      <w:r>
        <w:rPr>
          <w:sz w:val="20"/>
          <w:szCs w:val="20"/>
          <w:lang w:val="en-US"/>
        </w:rPr>
        <w:t xml:space="preserve"> ONGC</w:t>
      </w:r>
      <w:r w:rsidRPr="00EF31D8">
        <w:rPr>
          <w:sz w:val="20"/>
          <w:szCs w:val="20"/>
          <w:lang w:val="en-US"/>
        </w:rPr>
        <w:t xml:space="preserve"> stock and cited corporate governance issues with cash withdrawals by promoters as a concern.</w:t>
      </w:r>
      <w:r>
        <w:rPr>
          <w:sz w:val="20"/>
          <w:szCs w:val="20"/>
          <w:lang w:val="en-US"/>
        </w:rPr>
        <w:t xml:space="preserve"> </w:t>
      </w:r>
      <w:r w:rsidRPr="00EF31D8">
        <w:rPr>
          <w:sz w:val="20"/>
          <w:szCs w:val="20"/>
          <w:lang w:val="en-US"/>
        </w:rPr>
        <w:t>Goldman report added that despite repeated objections raised by investors and most recently by independent directors on ONGC's board, there has not been headway on this issue</w:t>
      </w:r>
    </w:p>
    <w:p w:rsidR="00EC3485" w:rsidRPr="00744B28" w:rsidRDefault="00EC3485" w:rsidP="006329DD">
      <w:pPr>
        <w:spacing w:after="0"/>
        <w:rPr>
          <w:lang w:val="en-US"/>
        </w:rPr>
      </w:pPr>
      <w:r w:rsidRPr="00B6776C">
        <w:rPr>
          <w:sz w:val="20"/>
          <w:szCs w:val="20"/>
          <w:lang w:val="en-US"/>
        </w:rPr>
        <w:t>'Despite repeated objections raised by investors and more recently by independent directors on ONGC's board, there has not been headway on this issue,' Goldman</w:t>
      </w:r>
      <w:r>
        <w:rPr>
          <w:sz w:val="20"/>
          <w:szCs w:val="20"/>
          <w:lang w:val="en-US"/>
        </w:rPr>
        <w:t xml:space="preserve"> Sachs</w:t>
      </w:r>
      <w:r w:rsidRPr="00B6776C">
        <w:rPr>
          <w:sz w:val="20"/>
          <w:szCs w:val="20"/>
          <w:lang w:val="en-US"/>
        </w:rPr>
        <w:t xml:space="preserve"> said</w:t>
      </w:r>
      <w:r>
        <w:rPr>
          <w:sz w:val="20"/>
          <w:szCs w:val="20"/>
          <w:lang w:val="en-US"/>
        </w:rPr>
        <w:t xml:space="preserve"> in its report</w:t>
      </w:r>
      <w:r w:rsidRPr="00B6776C">
        <w:rPr>
          <w:sz w:val="20"/>
          <w:szCs w:val="20"/>
          <w:lang w:val="en-US"/>
        </w:rPr>
        <w:t>. 'The market appears to have got used to this practice by ONGC promoters, while similar issues in privately run companies would likely cause serious concern</w:t>
      </w:r>
      <w:r>
        <w:rPr>
          <w:sz w:val="20"/>
          <w:szCs w:val="20"/>
          <w:lang w:val="en-US"/>
        </w:rPr>
        <w:t>’ and went on to add,</w:t>
      </w:r>
      <w:r w:rsidRPr="00B6776C">
        <w:rPr>
          <w:sz w:val="20"/>
          <w:szCs w:val="20"/>
          <w:lang w:val="en-US"/>
        </w:rPr>
        <w:t xml:space="preserve"> ‘We believe minority shareholders are likely to suffer in a situation where their interests are poorly protected. Moreover, such ad-hoc cash withdrawals hurt ONGC even more since it has a poor production profile and revenues are effectively a function of their oil realization</w:t>
      </w:r>
      <w:r>
        <w:rPr>
          <w:sz w:val="20"/>
          <w:szCs w:val="20"/>
          <w:lang w:val="en-US"/>
        </w:rPr>
        <w:t>.</w:t>
      </w:r>
      <w:r w:rsidRPr="00B6776C">
        <w:rPr>
          <w:sz w:val="20"/>
          <w:szCs w:val="20"/>
          <w:lang w:val="en-US"/>
        </w:rPr>
        <w:t>'</w:t>
      </w:r>
    </w:p>
  </w:footnote>
  <w:footnote w:id="83">
    <w:p w:rsidR="00EC3485" w:rsidRDefault="00EC3485" w:rsidP="00106702">
      <w:pPr>
        <w:pStyle w:val="FootnoteText"/>
      </w:pPr>
      <w:r w:rsidRPr="00106702">
        <w:rPr>
          <w:vertAlign w:val="superscript"/>
        </w:rPr>
        <w:footnoteRef/>
      </w:r>
      <w:r w:rsidRPr="00106702">
        <w:t xml:space="preserve">  </w:t>
      </w:r>
      <w:r>
        <w:t>An 8th March 2009 press release from ONGC firmly stated that Corporate Governance remains highest priority for the management at all times and that more than adequate disclosures are made on all operational as well as non-operational issues. Furthermore,</w:t>
      </w:r>
      <w:r w:rsidRPr="00BC53B4">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in the absence of production sharing/ profit sharing</w:t>
      </w:r>
      <w:r>
        <w:t xml:space="preserve"> agreement with GoI, the</w:t>
      </w:r>
      <w:r>
        <w:rPr>
          <w:rFonts w:ascii="Tahoma" w:hAnsi="Tahoma" w:cs="Tahoma"/>
          <w:color w:val="000000"/>
          <w:sz w:val="17"/>
          <w:szCs w:val="17"/>
          <w:shd w:val="clear" w:color="auto" w:fill="FFFFFF"/>
        </w:rPr>
        <w:t xml:space="preserve"> subsidy discount is the sharing of the upside(s) on the crude oil prices</w:t>
      </w:r>
      <w:r>
        <w:t>.</w:t>
      </w:r>
    </w:p>
    <w:p w:rsidR="00EC3485" w:rsidRPr="00BC53B4" w:rsidRDefault="00EC3485" w:rsidP="001B776C">
      <w:pPr>
        <w:pStyle w:val="FootnoteText"/>
        <w:rPr>
          <w:lang w:val="en-US"/>
        </w:rPr>
      </w:pPr>
      <w:r>
        <w:t xml:space="preserve">Available at </w:t>
      </w:r>
      <w:r w:rsidRPr="00106702">
        <w:t xml:space="preserve"> </w:t>
      </w:r>
      <w:hyperlink r:id="rId43" w:history="1">
        <w:r w:rsidRPr="00106702">
          <w:rPr>
            <w:rStyle w:val="Hyperlink"/>
          </w:rPr>
          <w:t>http://www.ongcindia.com/press_release1.asp?fold=press&amp;file=press385.txt</w:t>
        </w:r>
      </w:hyperlink>
    </w:p>
  </w:footnote>
  <w:footnote w:id="84">
    <w:p w:rsidR="00EC3485" w:rsidRPr="00D9424D" w:rsidRDefault="00EC3485" w:rsidP="00195815">
      <w:pPr>
        <w:pStyle w:val="NormalWeb"/>
        <w:rPr>
          <w:lang w:val="en-US"/>
        </w:rPr>
      </w:pPr>
      <w:r w:rsidRPr="006329DD">
        <w:rPr>
          <w:rStyle w:val="FootnoteReference"/>
          <w:rFonts w:asciiTheme="minorHAnsi" w:hAnsiTheme="minorHAnsi" w:cstheme="minorHAnsi"/>
          <w:sz w:val="20"/>
          <w:szCs w:val="20"/>
        </w:rPr>
        <w:footnoteRef/>
      </w:r>
      <w:r w:rsidRPr="006329DD">
        <w:rPr>
          <w:rFonts w:asciiTheme="minorHAnsi" w:hAnsiTheme="minorHAnsi" w:cstheme="minorHAnsi"/>
          <w:sz w:val="20"/>
          <w:szCs w:val="20"/>
        </w:rPr>
        <w:t xml:space="preserve"> </w:t>
      </w:r>
      <w:r>
        <w:rPr>
          <w:rFonts w:asciiTheme="minorHAnsi" w:hAnsiTheme="minorHAnsi" w:cstheme="minorHAnsi"/>
          <w:sz w:val="20"/>
          <w:szCs w:val="20"/>
        </w:rPr>
        <w:t xml:space="preserve"> </w:t>
      </w:r>
      <w:hyperlink r:id="rId44" w:history="1">
        <w:r w:rsidRPr="001B776C">
          <w:rPr>
            <w:rStyle w:val="Hyperlink"/>
            <w:rFonts w:asciiTheme="minorHAnsi" w:hAnsiTheme="minorHAnsi" w:cstheme="minorHAnsi"/>
            <w:sz w:val="20"/>
            <w:szCs w:val="20"/>
          </w:rPr>
          <w:t>http://www.firstpost.com/business/why-only-cil-here-are-9-other-psu-boards-investors-can-sue-241950.html</w:t>
        </w:r>
      </w:hyperlink>
      <w:r>
        <w:rPr>
          <w:rFonts w:asciiTheme="minorHAnsi" w:hAnsiTheme="minorHAnsi" w:cstheme="minorHAnsi"/>
          <w:sz w:val="20"/>
          <w:szCs w:val="20"/>
        </w:rPr>
        <w:t>; (</w:t>
      </w:r>
      <w:r w:rsidRPr="001B776C">
        <w:rPr>
          <w:rFonts w:asciiTheme="minorHAnsi" w:hAnsiTheme="minorHAnsi" w:cstheme="minorHAnsi"/>
          <w:sz w:val="20"/>
          <w:szCs w:val="20"/>
        </w:rPr>
        <w:t>Mar 13, 2012</w:t>
      </w:r>
      <w:r>
        <w:rPr>
          <w:rFonts w:asciiTheme="minorHAnsi" w:hAnsiTheme="minorHAnsi" w:cstheme="minorHAnsi"/>
          <w:sz w:val="20"/>
          <w:szCs w:val="20"/>
        </w:rPr>
        <w:t>): Firstpost.Business.</w:t>
      </w:r>
      <w:r w:rsidRPr="001B776C">
        <w:rPr>
          <w:rFonts w:asciiTheme="minorHAnsi" w:hAnsiTheme="minorHAnsi" w:cstheme="minorHAnsi"/>
          <w:sz w:val="20"/>
          <w:szCs w:val="20"/>
          <w:lang w:val="en-US"/>
        </w:rPr>
        <w:t>Why only CIL? Here are 9 other PSU boards investors can sue</w:t>
      </w:r>
      <w:r>
        <w:rPr>
          <w:rFonts w:asciiTheme="minorHAnsi" w:hAnsiTheme="minorHAnsi" w:cstheme="minorHAnsi"/>
          <w:sz w:val="20"/>
          <w:szCs w:val="20"/>
          <w:lang w:val="en-US"/>
        </w:rPr>
        <w:t xml:space="preserve">. </w:t>
      </w:r>
      <w:r>
        <w:rPr>
          <w:rFonts w:asciiTheme="minorHAnsi" w:hAnsiTheme="minorHAnsi" w:cstheme="minorHAnsi"/>
          <w:sz w:val="20"/>
          <w:szCs w:val="20"/>
        </w:rPr>
        <w:t xml:space="preserve"> R. </w:t>
      </w:r>
      <w:r w:rsidRPr="006329DD">
        <w:rPr>
          <w:rFonts w:asciiTheme="minorHAnsi" w:hAnsiTheme="minorHAnsi" w:cstheme="minorHAnsi"/>
          <w:sz w:val="20"/>
          <w:szCs w:val="20"/>
        </w:rPr>
        <w:t xml:space="preserve">Jagannathan points out that first there is ONGC whose profits are used to illegally subsidise the oil marketing companies and ONGC is not compensated for this loss. In fact, the government has arbitrarily even raised the level of subsidies payable by ONGC. Second, there is GAIL: whose profits too are used to subsidise the </w:t>
      </w:r>
      <w:r>
        <w:rPr>
          <w:rFonts w:asciiTheme="minorHAnsi" w:hAnsiTheme="minorHAnsi" w:cstheme="minorHAnsi"/>
          <w:sz w:val="20"/>
          <w:szCs w:val="20"/>
        </w:rPr>
        <w:t>oil marketing companies</w:t>
      </w:r>
      <w:r w:rsidRPr="006329DD">
        <w:rPr>
          <w:rFonts w:asciiTheme="minorHAnsi" w:hAnsiTheme="minorHAnsi" w:cstheme="minorHAnsi"/>
          <w:sz w:val="20"/>
          <w:szCs w:val="20"/>
        </w:rPr>
        <w:t>.</w:t>
      </w:r>
      <w:r>
        <w:rPr>
          <w:rFonts w:asciiTheme="minorHAnsi" w:hAnsiTheme="minorHAnsi" w:cstheme="minorHAnsi"/>
          <w:sz w:val="20"/>
          <w:szCs w:val="20"/>
        </w:rPr>
        <w:t xml:space="preserve"> </w:t>
      </w:r>
      <w:r w:rsidRPr="006329DD">
        <w:rPr>
          <w:rFonts w:asciiTheme="minorHAnsi" w:hAnsiTheme="minorHAnsi" w:cstheme="minorHAnsi"/>
          <w:sz w:val="20"/>
          <w:szCs w:val="20"/>
        </w:rPr>
        <w:t>Third</w:t>
      </w:r>
      <w:r w:rsidRPr="006329DD">
        <w:rPr>
          <w:rStyle w:val="apple-converted-space"/>
          <w:rFonts w:asciiTheme="minorHAnsi" w:hAnsiTheme="minorHAnsi" w:cstheme="minorHAnsi"/>
          <w:sz w:val="20"/>
          <w:szCs w:val="20"/>
        </w:rPr>
        <w:t> </w:t>
      </w:r>
      <w:r w:rsidRPr="006329DD">
        <w:rPr>
          <w:rFonts w:asciiTheme="minorHAnsi" w:hAnsiTheme="minorHAnsi" w:cstheme="minorHAnsi"/>
          <w:sz w:val="20"/>
          <w:szCs w:val="20"/>
        </w:rPr>
        <w:t>there is Oil India which is in the same boat as ONGC and GAIL. Fourth</w:t>
      </w:r>
      <w:r w:rsidRPr="006329DD">
        <w:rPr>
          <w:rStyle w:val="apple-converted-space"/>
          <w:rFonts w:asciiTheme="minorHAnsi" w:hAnsiTheme="minorHAnsi" w:cstheme="minorHAnsi"/>
          <w:sz w:val="20"/>
          <w:szCs w:val="20"/>
        </w:rPr>
        <w:t> </w:t>
      </w:r>
      <w:r w:rsidRPr="006329DD">
        <w:rPr>
          <w:rFonts w:asciiTheme="minorHAnsi" w:hAnsiTheme="minorHAnsi" w:cstheme="minorHAnsi"/>
          <w:sz w:val="20"/>
          <w:szCs w:val="20"/>
        </w:rPr>
        <w:t>there is Indian Oil where</w:t>
      </w:r>
      <w:r>
        <w:rPr>
          <w:rFonts w:asciiTheme="minorHAnsi" w:hAnsiTheme="minorHAnsi" w:cstheme="minorHAnsi"/>
          <w:sz w:val="20"/>
          <w:szCs w:val="20"/>
        </w:rPr>
        <w:t xml:space="preserve"> </w:t>
      </w:r>
      <w:r w:rsidRPr="006329DD">
        <w:rPr>
          <w:rFonts w:asciiTheme="minorHAnsi" w:hAnsiTheme="minorHAnsi" w:cstheme="minorHAnsi"/>
          <w:sz w:val="20"/>
          <w:szCs w:val="20"/>
        </w:rPr>
        <w:t>despite being forced to sell everything from petrol, diesel, kerosene and cooking gas below cost, the government has not been compensating them.</w:t>
      </w:r>
      <w:r w:rsidRPr="006329DD">
        <w:rPr>
          <w:rFonts w:asciiTheme="minorHAnsi" w:hAnsiTheme="minorHAnsi" w:cstheme="minorHAnsi"/>
          <w:iCs/>
          <w:sz w:val="20"/>
          <w:szCs w:val="20"/>
        </w:rPr>
        <w:t xml:space="preserve"> Fifth </w:t>
      </w:r>
      <w:r w:rsidRPr="006329DD">
        <w:rPr>
          <w:rFonts w:asciiTheme="minorHAnsi" w:hAnsiTheme="minorHAnsi" w:cstheme="minorHAnsi"/>
          <w:sz w:val="20"/>
          <w:szCs w:val="20"/>
        </w:rPr>
        <w:t xml:space="preserve">is BPCL which is in the same situation as Indian Oil. Petrol is supposed to be deregulated, but government has forced the </w:t>
      </w:r>
      <w:r>
        <w:rPr>
          <w:rFonts w:asciiTheme="minorHAnsi" w:hAnsiTheme="minorHAnsi" w:cstheme="minorHAnsi"/>
          <w:sz w:val="20"/>
          <w:szCs w:val="20"/>
        </w:rPr>
        <w:t>oil marketing companies</w:t>
      </w:r>
      <w:r w:rsidRPr="006329DD">
        <w:rPr>
          <w:rFonts w:asciiTheme="minorHAnsi" w:hAnsiTheme="minorHAnsi" w:cstheme="minorHAnsi"/>
          <w:sz w:val="20"/>
          <w:szCs w:val="20"/>
        </w:rPr>
        <w:t xml:space="preserve"> to hold back on price increase due to the</w:t>
      </w:r>
      <w:r>
        <w:rPr>
          <w:rFonts w:asciiTheme="minorHAnsi" w:hAnsiTheme="minorHAnsi" w:cstheme="minorHAnsi"/>
          <w:sz w:val="20"/>
          <w:szCs w:val="20"/>
        </w:rPr>
        <w:t xml:space="preserve"> </w:t>
      </w:r>
      <w:r w:rsidRPr="006329DD">
        <w:rPr>
          <w:rFonts w:asciiTheme="minorHAnsi" w:hAnsiTheme="minorHAnsi" w:cstheme="minorHAnsi"/>
          <w:sz w:val="20"/>
          <w:szCs w:val="20"/>
        </w:rPr>
        <w:t>political reasons such as state elections</w:t>
      </w:r>
      <w:r>
        <w:rPr>
          <w:rFonts w:asciiTheme="minorHAnsi" w:hAnsiTheme="minorHAnsi" w:cstheme="minorHAnsi"/>
          <w:sz w:val="20"/>
          <w:szCs w:val="20"/>
        </w:rPr>
        <w:t xml:space="preserve">. </w:t>
      </w:r>
      <w:r w:rsidRPr="006329DD">
        <w:rPr>
          <w:rFonts w:asciiTheme="minorHAnsi" w:hAnsiTheme="minorHAnsi" w:cstheme="minorHAnsi"/>
          <w:sz w:val="20"/>
          <w:szCs w:val="20"/>
        </w:rPr>
        <w:t>.</w:t>
      </w:r>
      <w:r w:rsidRPr="006329DD">
        <w:rPr>
          <w:rFonts w:asciiTheme="minorHAnsi" w:hAnsiTheme="minorHAnsi" w:cstheme="minorHAnsi"/>
          <w:iCs/>
          <w:sz w:val="20"/>
          <w:szCs w:val="20"/>
        </w:rPr>
        <w:t xml:space="preserve">Sixth is </w:t>
      </w:r>
      <w:r w:rsidRPr="006329DD">
        <w:rPr>
          <w:rFonts w:asciiTheme="minorHAnsi" w:hAnsiTheme="minorHAnsi" w:cstheme="minorHAnsi"/>
          <w:sz w:val="20"/>
          <w:szCs w:val="20"/>
        </w:rPr>
        <w:t>HPCL</w:t>
      </w:r>
      <w:r>
        <w:rPr>
          <w:rFonts w:asciiTheme="minorHAnsi" w:hAnsiTheme="minorHAnsi" w:cstheme="minorHAnsi"/>
          <w:sz w:val="20"/>
          <w:szCs w:val="20"/>
        </w:rPr>
        <w:t xml:space="preserve"> </w:t>
      </w:r>
      <w:r w:rsidRPr="006329DD">
        <w:rPr>
          <w:rFonts w:asciiTheme="minorHAnsi" w:hAnsiTheme="minorHAnsi" w:cstheme="minorHAnsi"/>
          <w:sz w:val="20"/>
          <w:szCs w:val="20"/>
        </w:rPr>
        <w:t xml:space="preserve">which is in the same situation as IOC and BPCL. Additionally, IOC, BPCL and HPCL shareholders can also sue their boards and the government for deciding that airlines can import fuel directly – at their cost. Aviation fuel is not subsidised, but even this profitable </w:t>
      </w:r>
      <w:r w:rsidR="00195815" w:rsidRPr="006329DD">
        <w:rPr>
          <w:rFonts w:asciiTheme="minorHAnsi" w:hAnsiTheme="minorHAnsi" w:cstheme="minorHAnsi"/>
          <w:sz w:val="20"/>
          <w:szCs w:val="20"/>
        </w:rPr>
        <w:t xml:space="preserve">product </w:t>
      </w:r>
      <w:r w:rsidR="00195815">
        <w:rPr>
          <w:rFonts w:asciiTheme="minorHAnsi" w:hAnsiTheme="minorHAnsi" w:cstheme="minorHAnsi"/>
          <w:sz w:val="20"/>
          <w:szCs w:val="20"/>
        </w:rPr>
        <w:t>can</w:t>
      </w:r>
      <w:r w:rsidRPr="006329DD">
        <w:rPr>
          <w:rFonts w:asciiTheme="minorHAnsi" w:hAnsiTheme="minorHAnsi" w:cstheme="minorHAnsi"/>
          <w:sz w:val="20"/>
          <w:szCs w:val="20"/>
        </w:rPr>
        <w:t xml:space="preserve"> now be imported directly, reducing the business opportunities for </w:t>
      </w:r>
      <w:r>
        <w:rPr>
          <w:rFonts w:asciiTheme="minorHAnsi" w:hAnsiTheme="minorHAnsi" w:cstheme="minorHAnsi"/>
          <w:sz w:val="20"/>
          <w:szCs w:val="20"/>
        </w:rPr>
        <w:t>oil marketing companies</w:t>
      </w:r>
      <w:r w:rsidRPr="006329DD">
        <w:rPr>
          <w:rFonts w:asciiTheme="minorHAnsi" w:hAnsiTheme="minorHAnsi" w:cstheme="minorHAnsi"/>
          <w:sz w:val="20"/>
          <w:szCs w:val="20"/>
        </w:rPr>
        <w:t>.</w:t>
      </w:r>
      <w:r>
        <w:rPr>
          <w:rFonts w:asciiTheme="minorHAnsi" w:hAnsiTheme="minorHAnsi" w:cstheme="minorHAnsi"/>
          <w:sz w:val="20"/>
          <w:szCs w:val="20"/>
        </w:rPr>
        <w:t xml:space="preserve"> </w:t>
      </w:r>
      <w:r w:rsidRPr="006329DD">
        <w:rPr>
          <w:rFonts w:asciiTheme="minorHAnsi" w:hAnsiTheme="minorHAnsi" w:cstheme="minorHAnsi"/>
          <w:iCs/>
          <w:sz w:val="20"/>
          <w:szCs w:val="20"/>
        </w:rPr>
        <w:t>Seventh is</w:t>
      </w:r>
      <w:r w:rsidRPr="006329DD">
        <w:rPr>
          <w:rFonts w:asciiTheme="minorHAnsi" w:hAnsiTheme="minorHAnsi" w:cstheme="minorHAnsi"/>
          <w:sz w:val="20"/>
          <w:szCs w:val="20"/>
        </w:rPr>
        <w:t xml:space="preserve"> NTPC which is being forced to keep supplying power to bankrupt state electricity boards and distribution companies at a huge cost to itself in terms of unpaid receivables.</w:t>
      </w:r>
      <w:r>
        <w:rPr>
          <w:rFonts w:asciiTheme="minorHAnsi" w:hAnsiTheme="minorHAnsi" w:cstheme="minorHAnsi"/>
          <w:sz w:val="20"/>
          <w:szCs w:val="20"/>
        </w:rPr>
        <w:t xml:space="preserve"> </w:t>
      </w:r>
      <w:r w:rsidRPr="006329DD">
        <w:rPr>
          <w:rFonts w:asciiTheme="minorHAnsi" w:hAnsiTheme="minorHAnsi" w:cstheme="minorHAnsi"/>
          <w:iCs/>
          <w:sz w:val="20"/>
          <w:szCs w:val="20"/>
        </w:rPr>
        <w:t>Eighth is</w:t>
      </w:r>
      <w:r w:rsidRPr="006329DD">
        <w:rPr>
          <w:rFonts w:asciiTheme="minorHAnsi" w:hAnsiTheme="minorHAnsi" w:cstheme="minorHAnsi"/>
          <w:sz w:val="20"/>
          <w:szCs w:val="20"/>
        </w:rPr>
        <w:t xml:space="preserve"> MTNL who along with its unlisted sister BSNL, was forced to take up costly spectrum during the 3G auction and not allowed to expand in other territories beyond Mumbai and Delhi. The company is now more or less a basket case. </w:t>
      </w:r>
      <w:r w:rsidRPr="006329DD">
        <w:rPr>
          <w:rFonts w:asciiTheme="minorHAnsi" w:hAnsiTheme="minorHAnsi" w:cstheme="minorHAnsi"/>
          <w:iCs/>
          <w:sz w:val="20"/>
          <w:szCs w:val="20"/>
        </w:rPr>
        <w:t>Ninth is</w:t>
      </w:r>
      <w:r w:rsidRPr="006329DD">
        <w:rPr>
          <w:rFonts w:asciiTheme="minorHAnsi" w:hAnsiTheme="minorHAnsi" w:cstheme="minorHAnsi"/>
          <w:i/>
          <w:iCs/>
          <w:sz w:val="20"/>
          <w:szCs w:val="20"/>
        </w:rPr>
        <w:t xml:space="preserve"> </w:t>
      </w:r>
      <w:r w:rsidRPr="006329DD">
        <w:rPr>
          <w:rFonts w:asciiTheme="minorHAnsi" w:hAnsiTheme="minorHAnsi" w:cstheme="minorHAnsi"/>
          <w:sz w:val="20"/>
          <w:szCs w:val="20"/>
        </w:rPr>
        <w:t>LIC where policyholders should sue the board, which is neither independent nor alert. In the recent ONGC share auction, the insurer was forced both to buy ONGC shares before the auction and during the auction to bail out the government’s disinvestment programme</w:t>
      </w:r>
      <w:r>
        <w:rPr>
          <w:rFonts w:asciiTheme="minorHAnsi" w:hAnsiTheme="minorHAnsi" w:cstheme="minorHAnsi"/>
          <w:sz w:val="20"/>
          <w:szCs w:val="20"/>
        </w:rPr>
        <w:t>.</w:t>
      </w:r>
    </w:p>
  </w:footnote>
  <w:footnote w:id="85">
    <w:p w:rsidR="00EC3485" w:rsidRPr="001B776C" w:rsidRDefault="00EC3485" w:rsidP="001B776C">
      <w:pPr>
        <w:pStyle w:val="FootnoteText"/>
        <w:rPr>
          <w:lang w:val="en-US"/>
        </w:rPr>
      </w:pPr>
      <w:r>
        <w:rPr>
          <w:rStyle w:val="FootnoteReference"/>
        </w:rPr>
        <w:footnoteRef/>
      </w:r>
      <w:r>
        <w:t xml:space="preserve"> The Economic Times; (</w:t>
      </w:r>
      <w:r w:rsidRPr="001B776C">
        <w:t>Oct 19, 2011</w:t>
      </w:r>
      <w:r>
        <w:t>);</w:t>
      </w:r>
      <w:r w:rsidRPr="001B776C">
        <w:rPr>
          <w:lang w:val="en-US"/>
        </w:rPr>
        <w:t xml:space="preserve">Corruption, inefficiency eat 25% of CIL output: </w:t>
      </w:r>
      <w:r>
        <w:rPr>
          <w:lang w:val="en-US"/>
        </w:rPr>
        <w:t xml:space="preserve">Interview of the Union Minister of Coal Shri </w:t>
      </w:r>
      <w:r w:rsidRPr="001B776C">
        <w:rPr>
          <w:lang w:val="en-US"/>
        </w:rPr>
        <w:t>Sriprakash Jaiswal</w:t>
      </w:r>
      <w:r>
        <w:rPr>
          <w:lang w:val="en-US"/>
        </w:rPr>
        <w:t xml:space="preserve"> is available at:</w:t>
      </w:r>
    </w:p>
    <w:p w:rsidR="00EC3485" w:rsidRPr="006329DD" w:rsidRDefault="00FC6208">
      <w:pPr>
        <w:pStyle w:val="FootnoteText"/>
        <w:rPr>
          <w:lang w:val="en-US"/>
        </w:rPr>
      </w:pPr>
      <w:hyperlink r:id="rId45" w:history="1">
        <w:r w:rsidR="00EC3485">
          <w:rPr>
            <w:rStyle w:val="Hyperlink"/>
          </w:rPr>
          <w:t>http://articles.economictimes.indiatimes.com/2011-10-19/news/30297602_1_coal-shortage-coal-output-coal-india</w:t>
        </w:r>
      </w:hyperlink>
      <w:r w:rsidR="00EC3485">
        <w:t xml:space="preserve">. </w:t>
      </w:r>
    </w:p>
  </w:footnote>
  <w:footnote w:id="86">
    <w:p w:rsidR="00EC3485" w:rsidRPr="00086078" w:rsidRDefault="00EC3485">
      <w:pPr>
        <w:pStyle w:val="FootnoteText"/>
        <w:rPr>
          <w:lang w:val="en-US"/>
        </w:rPr>
      </w:pPr>
      <w:r>
        <w:rPr>
          <w:rStyle w:val="FootnoteReference"/>
        </w:rPr>
        <w:footnoteRef/>
      </w:r>
      <w:r>
        <w:t xml:space="preserve"> Financial Times;(March 13,2012);</w:t>
      </w:r>
      <w:r w:rsidRPr="00212428">
        <w:t>TCI in legal threat against Coal India</w:t>
      </w:r>
      <w:r>
        <w:t xml:space="preserve">; available at: </w:t>
      </w:r>
      <w:hyperlink r:id="rId46" w:anchor="axzz1ygEFtOLj" w:history="1">
        <w:r>
          <w:rPr>
            <w:rStyle w:val="Hyperlink"/>
          </w:rPr>
          <w:t>http://www.ft.com/intl/cms/s/0/7e70ca02-6d12-11e1-ab1a-00144feab49a.html#axzz1ygEFtOLj</w:t>
        </w:r>
      </w:hyperlink>
    </w:p>
  </w:footnote>
  <w:footnote w:id="87">
    <w:p w:rsidR="00EC3485" w:rsidRPr="00EF59C0" w:rsidRDefault="00EC3485" w:rsidP="00EF59C0">
      <w:pPr>
        <w:pStyle w:val="FootnoteText"/>
        <w:rPr>
          <w:lang w:val="en-US"/>
        </w:rPr>
      </w:pPr>
      <w:r>
        <w:rPr>
          <w:rStyle w:val="FootnoteReference"/>
        </w:rPr>
        <w:footnoteRef/>
      </w:r>
      <w:r>
        <w:t xml:space="preserve"> </w:t>
      </w:r>
      <w:r w:rsidRPr="00EF59C0">
        <w:rPr>
          <w:iCs/>
          <w:lang w:val="en-US"/>
        </w:rPr>
        <w:t>Simon C.Y. Wong;</w:t>
      </w:r>
      <w:r w:rsidRPr="00EF59C0">
        <w:rPr>
          <w:rFonts w:ascii="Arial" w:eastAsiaTheme="minorHAnsi" w:hAnsi="Arial" w:cs="Arial"/>
          <w:bCs/>
          <w:sz w:val="50"/>
          <w:szCs w:val="50"/>
          <w:lang w:val="en-US" w:eastAsia="en-US"/>
        </w:rPr>
        <w:t xml:space="preserve"> </w:t>
      </w:r>
      <w:r w:rsidRPr="00EF59C0">
        <w:rPr>
          <w:bCs/>
          <w:iCs/>
          <w:lang w:val="en-US"/>
        </w:rPr>
        <w:t>Improving Corporate Governance in SOEs: An Integrated Approach:</w:t>
      </w:r>
      <w:r w:rsidRPr="00EF59C0">
        <w:rPr>
          <w:rFonts w:ascii="TimesNewRoman,Italic" w:eastAsiaTheme="minorHAnsi" w:hAnsi="TimesNewRoman,Italic" w:cs="TimesNewRoman,Italic"/>
          <w:iCs/>
          <w:sz w:val="22"/>
          <w:szCs w:val="22"/>
          <w:lang w:val="en-US" w:eastAsia="en-US"/>
        </w:rPr>
        <w:t xml:space="preserve"> </w:t>
      </w:r>
      <w:r w:rsidRPr="00EF59C0">
        <w:rPr>
          <w:bCs/>
          <w:iCs/>
          <w:lang w:val="en-US"/>
        </w:rPr>
        <w:t>Corporate Governance International, Volume 7, Issue 2, June 2004</w:t>
      </w:r>
    </w:p>
  </w:footnote>
  <w:footnote w:id="88">
    <w:p w:rsidR="00EC3485" w:rsidRDefault="00EC3485" w:rsidP="00B92AB3">
      <w:pPr>
        <w:pStyle w:val="FootnoteText"/>
        <w:rPr>
          <w:lang w:val="en-US"/>
        </w:rPr>
      </w:pPr>
      <w:r>
        <w:rPr>
          <w:rStyle w:val="FootnoteReference"/>
        </w:rPr>
        <w:footnoteRef/>
      </w:r>
      <w:r>
        <w:t xml:space="preserve">  </w:t>
      </w:r>
      <w:r w:rsidRPr="00746C18">
        <w:rPr>
          <w:lang w:val="en-US"/>
        </w:rPr>
        <w:t>The Government as Active Shareholder. Espen Eckbo</w:t>
      </w:r>
      <w:r>
        <w:rPr>
          <w:lang w:val="en-US"/>
        </w:rPr>
        <w:t>;</w:t>
      </w:r>
      <w:r w:rsidRPr="00746C18">
        <w:rPr>
          <w:rFonts w:ascii="CMBX12" w:eastAsiaTheme="minorHAnsi" w:hAnsi="CMBX12" w:cs="CMBX12"/>
          <w:sz w:val="24"/>
          <w:szCs w:val="24"/>
          <w:lang w:val="en-US" w:eastAsia="en-US"/>
        </w:rPr>
        <w:t xml:space="preserve"> </w:t>
      </w:r>
      <w:r>
        <w:rPr>
          <w:rFonts w:ascii="CMBX12" w:eastAsiaTheme="minorHAnsi" w:hAnsi="CMBX12" w:cs="CMBX12"/>
          <w:sz w:val="24"/>
          <w:szCs w:val="24"/>
          <w:lang w:val="en-US" w:eastAsia="en-US"/>
        </w:rPr>
        <w:t>(</w:t>
      </w:r>
      <w:r w:rsidRPr="00746C18">
        <w:rPr>
          <w:lang w:val="en-US"/>
        </w:rPr>
        <w:t>December 16, 2009</w:t>
      </w:r>
      <w:r>
        <w:rPr>
          <w:lang w:val="en-US"/>
        </w:rPr>
        <w:t xml:space="preserve">); </w:t>
      </w:r>
      <w:r w:rsidRPr="00746C18">
        <w:rPr>
          <w:lang w:val="en-US"/>
        </w:rPr>
        <w:t>Testimony</w:t>
      </w:r>
      <w:r>
        <w:rPr>
          <w:lang w:val="en-US"/>
        </w:rPr>
        <w:t xml:space="preserve"> </w:t>
      </w:r>
      <w:r w:rsidRPr="00746C18">
        <w:rPr>
          <w:lang w:val="en-US"/>
        </w:rPr>
        <w:t>to</w:t>
      </w:r>
      <w:r>
        <w:rPr>
          <w:lang w:val="en-US"/>
        </w:rPr>
        <w:t xml:space="preserve"> t</w:t>
      </w:r>
      <w:r w:rsidRPr="00746C18">
        <w:rPr>
          <w:lang w:val="en-US"/>
        </w:rPr>
        <w:t>he Congressional Domestic Policy Subcommittee</w:t>
      </w:r>
      <w:r>
        <w:rPr>
          <w:lang w:val="en-US"/>
        </w:rPr>
        <w:t xml:space="preserve"> </w:t>
      </w:r>
      <w:r w:rsidRPr="00746C18">
        <w:rPr>
          <w:lang w:val="en-US"/>
        </w:rPr>
        <w:t>of</w:t>
      </w:r>
      <w:r>
        <w:rPr>
          <w:lang w:val="en-US"/>
        </w:rPr>
        <w:t xml:space="preserve"> </w:t>
      </w:r>
      <w:r w:rsidRPr="00746C18">
        <w:rPr>
          <w:lang w:val="en-US"/>
        </w:rPr>
        <w:t>the Oversight and Governance Reform Committee</w:t>
      </w:r>
      <w:r>
        <w:rPr>
          <w:lang w:val="en-US"/>
        </w:rPr>
        <w:t>; available at:</w:t>
      </w:r>
      <w:r w:rsidRPr="00287F00">
        <w:t xml:space="preserve"> </w:t>
      </w:r>
      <w:hyperlink r:id="rId47" w:history="1">
        <w:r>
          <w:rPr>
            <w:rStyle w:val="Hyperlink"/>
          </w:rPr>
          <w:t>http://papers.ssrn.com/sol3/papers.cfm?abstract_id=1529010</w:t>
        </w:r>
      </w:hyperlink>
      <w:r>
        <w:rPr>
          <w:lang w:val="en-US"/>
        </w:rPr>
        <w:t xml:space="preserve"> . </w:t>
      </w:r>
    </w:p>
    <w:p w:rsidR="00EC3485" w:rsidRPr="00B92AB3" w:rsidRDefault="00EC3485">
      <w:pPr>
        <w:pStyle w:val="FootnoteText"/>
        <w:rPr>
          <w:lang w:val="en-US"/>
        </w:rPr>
      </w:pPr>
      <w:r>
        <w:rPr>
          <w:lang w:val="en-US"/>
        </w:rPr>
        <w:t xml:space="preserve"> The congressional subcommittee was set up by the</w:t>
      </w:r>
      <w:r w:rsidRPr="00B92AB3">
        <w:rPr>
          <w:lang w:val="en-US"/>
        </w:rPr>
        <w:t xml:space="preserve"> Obama administration </w:t>
      </w:r>
      <w:r>
        <w:rPr>
          <w:lang w:val="en-US"/>
        </w:rPr>
        <w:t xml:space="preserve">to find the road map to </w:t>
      </w:r>
      <w:r w:rsidRPr="00B92AB3">
        <w:rPr>
          <w:lang w:val="en-US"/>
        </w:rPr>
        <w:t>manage the</w:t>
      </w:r>
      <w:r>
        <w:rPr>
          <w:lang w:val="en-US"/>
        </w:rPr>
        <w:t xml:space="preserve"> government </w:t>
      </w:r>
      <w:r w:rsidRPr="00B92AB3">
        <w:rPr>
          <w:lang w:val="en-US"/>
        </w:rPr>
        <w:t>ownership stake in a hands-off, commercial manner</w:t>
      </w:r>
      <w:r>
        <w:rPr>
          <w:lang w:val="en-US"/>
        </w:rPr>
        <w:t xml:space="preserve"> and to help the</w:t>
      </w:r>
      <w:r w:rsidRPr="00B92AB3">
        <w:rPr>
          <w:lang w:val="en-US"/>
        </w:rPr>
        <w:t xml:space="preserve"> government </w:t>
      </w:r>
      <w:r>
        <w:rPr>
          <w:lang w:val="en-US"/>
        </w:rPr>
        <w:t>to</w:t>
      </w:r>
      <w:r w:rsidRPr="00B92AB3">
        <w:rPr>
          <w:lang w:val="en-US"/>
        </w:rPr>
        <w:t xml:space="preserve"> exercise its shareholder vote on core governance issues, such as director election and major corporate events or transactions. </w:t>
      </w:r>
      <w:r>
        <w:rPr>
          <w:lang w:val="en-US"/>
        </w:rPr>
        <w:t xml:space="preserve">Such a road map would be </w:t>
      </w:r>
      <w:r w:rsidRPr="00B92AB3">
        <w:rPr>
          <w:lang w:val="en-US"/>
        </w:rPr>
        <w:t>consistent with U</w:t>
      </w:r>
      <w:r>
        <w:rPr>
          <w:lang w:val="en-US"/>
        </w:rPr>
        <w:t xml:space="preserve">S government’s position as </w:t>
      </w:r>
      <w:r w:rsidRPr="00B92AB3">
        <w:rPr>
          <w:lang w:val="en-US"/>
        </w:rPr>
        <w:t>a reluctant “owner of last resort"</w:t>
      </w:r>
      <w:r>
        <w:rPr>
          <w:lang w:val="en-US"/>
        </w:rPr>
        <w:t xml:space="preserve"> and its desire that its</w:t>
      </w:r>
      <w:r w:rsidRPr="00B92AB3">
        <w:rPr>
          <w:lang w:val="en-US"/>
        </w:rPr>
        <w:t xml:space="preserve"> shareholdings will be privatized at the earliest possible time</w:t>
      </w:r>
      <w:r>
        <w:rPr>
          <w:lang w:val="en-US"/>
        </w:rPr>
        <w:t>.</w:t>
      </w:r>
    </w:p>
  </w:footnote>
  <w:footnote w:id="89">
    <w:p w:rsidR="00EC3485" w:rsidRPr="00B92AB3" w:rsidRDefault="00EC3485">
      <w:pPr>
        <w:pStyle w:val="FootnoteText"/>
        <w:rPr>
          <w:lang w:val="en-US"/>
        </w:rPr>
      </w:pPr>
      <w:r>
        <w:rPr>
          <w:rStyle w:val="FootnoteReference"/>
        </w:rPr>
        <w:footnoteRef/>
      </w:r>
      <w:r>
        <w:t xml:space="preserve"> </w:t>
      </w:r>
      <w:r>
        <w:rPr>
          <w:lang w:val="en-US"/>
        </w:rPr>
        <w:t>Id.</w:t>
      </w:r>
    </w:p>
  </w:footnote>
  <w:footnote w:id="90">
    <w:p w:rsidR="00EC3485" w:rsidRPr="00A00925" w:rsidRDefault="00EC3485">
      <w:pPr>
        <w:pStyle w:val="FootnoteText"/>
        <w:rPr>
          <w:lang w:val="en-US"/>
        </w:rPr>
      </w:pPr>
      <w:r>
        <w:rPr>
          <w:rStyle w:val="FootnoteReference"/>
        </w:rPr>
        <w:footnoteRef/>
      </w:r>
      <w:r>
        <w:t xml:space="preserve"> </w:t>
      </w:r>
      <w:r>
        <w:rPr>
          <w:lang w:val="en-US"/>
        </w:rPr>
        <w:t>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6E7"/>
    <w:multiLevelType w:val="hybridMultilevel"/>
    <w:tmpl w:val="9730916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22B5DD9"/>
    <w:multiLevelType w:val="hybridMultilevel"/>
    <w:tmpl w:val="7C22C6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8D1620A"/>
    <w:multiLevelType w:val="hybridMultilevel"/>
    <w:tmpl w:val="B54478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BE20685"/>
    <w:multiLevelType w:val="hybridMultilevel"/>
    <w:tmpl w:val="DAF4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F2E85"/>
    <w:multiLevelType w:val="hybridMultilevel"/>
    <w:tmpl w:val="DFAC557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D5F2272"/>
    <w:multiLevelType w:val="hybridMultilevel"/>
    <w:tmpl w:val="043E0144"/>
    <w:lvl w:ilvl="0" w:tplc="86784C4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13BB2799"/>
    <w:multiLevelType w:val="hybridMultilevel"/>
    <w:tmpl w:val="2C96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1A240F"/>
    <w:multiLevelType w:val="hybridMultilevel"/>
    <w:tmpl w:val="0186F420"/>
    <w:lvl w:ilvl="0" w:tplc="6A082314">
      <w:start w:val="1"/>
      <w:numFmt w:val="bullet"/>
      <w:lvlText w:val=""/>
      <w:lvlJc w:val="left"/>
      <w:pPr>
        <w:ind w:left="360" w:hanging="360"/>
      </w:pPr>
      <w:rPr>
        <w:rFonts w:ascii="Symbol" w:hAnsi="Symbol" w:hint="default"/>
        <w:u w:color="FFFFFF" w:themeColor="background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C367C96"/>
    <w:multiLevelType w:val="hybridMultilevel"/>
    <w:tmpl w:val="DA404766"/>
    <w:lvl w:ilvl="0" w:tplc="F38241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B2700"/>
    <w:multiLevelType w:val="hybridMultilevel"/>
    <w:tmpl w:val="B614C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A5EBB"/>
    <w:multiLevelType w:val="hybridMultilevel"/>
    <w:tmpl w:val="D0B413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FB933E5"/>
    <w:multiLevelType w:val="hybridMultilevel"/>
    <w:tmpl w:val="8988C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4F059F"/>
    <w:multiLevelType w:val="hybridMultilevel"/>
    <w:tmpl w:val="4CACE1A2"/>
    <w:lvl w:ilvl="0" w:tplc="99E0C0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11FF1"/>
    <w:multiLevelType w:val="hybridMultilevel"/>
    <w:tmpl w:val="447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10B6A"/>
    <w:multiLevelType w:val="hybridMultilevel"/>
    <w:tmpl w:val="294A53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A193579"/>
    <w:multiLevelType w:val="hybridMultilevel"/>
    <w:tmpl w:val="313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17BB2"/>
    <w:multiLevelType w:val="hybridMultilevel"/>
    <w:tmpl w:val="034E3A08"/>
    <w:lvl w:ilvl="0" w:tplc="67CEA7B8">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2F657FA7"/>
    <w:multiLevelType w:val="hybridMultilevel"/>
    <w:tmpl w:val="BF4C407E"/>
    <w:lvl w:ilvl="0" w:tplc="8F9AA7DA">
      <w:numFmt w:val="bullet"/>
      <w:lvlText w:val="-"/>
      <w:lvlJc w:val="left"/>
      <w:pPr>
        <w:ind w:left="720" w:hanging="360"/>
      </w:pPr>
      <w:rPr>
        <w:rFonts w:ascii="Calibri" w:eastAsiaTheme="minorEastAsia" w:hAnsi="Calibri" w:cstheme="minorBidi" w:hint="default"/>
        <w:b/>
        <w:color w:val="auto"/>
        <w:sz w:val="28"/>
        <w:u w:val="singl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02661D4"/>
    <w:multiLevelType w:val="hybridMultilevel"/>
    <w:tmpl w:val="F5A8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105CA8"/>
    <w:multiLevelType w:val="multilevel"/>
    <w:tmpl w:val="E6F86E0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1507E61"/>
    <w:multiLevelType w:val="hybridMultilevel"/>
    <w:tmpl w:val="18EA47D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3D81789"/>
    <w:multiLevelType w:val="hybridMultilevel"/>
    <w:tmpl w:val="4FBE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748C1"/>
    <w:multiLevelType w:val="hybridMultilevel"/>
    <w:tmpl w:val="9B28B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A425AE"/>
    <w:multiLevelType w:val="hybridMultilevel"/>
    <w:tmpl w:val="625A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6412C"/>
    <w:multiLevelType w:val="hybridMultilevel"/>
    <w:tmpl w:val="C92E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F5D98"/>
    <w:multiLevelType w:val="multilevel"/>
    <w:tmpl w:val="9C76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747815"/>
    <w:multiLevelType w:val="hybridMultilevel"/>
    <w:tmpl w:val="1DD8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8678E1"/>
    <w:multiLevelType w:val="hybridMultilevel"/>
    <w:tmpl w:val="4F166B70"/>
    <w:lvl w:ilvl="0" w:tplc="04090001">
      <w:start w:val="1"/>
      <w:numFmt w:val="bullet"/>
      <w:lvlText w:val=""/>
      <w:lvlJc w:val="left"/>
      <w:pPr>
        <w:tabs>
          <w:tab w:val="num" w:pos="427"/>
        </w:tabs>
        <w:ind w:left="427" w:hanging="360"/>
      </w:pPr>
      <w:rPr>
        <w:rFonts w:ascii="Symbol" w:hAnsi="Symbol" w:hint="default"/>
      </w:rPr>
    </w:lvl>
    <w:lvl w:ilvl="1" w:tplc="04090019" w:tentative="1">
      <w:start w:val="1"/>
      <w:numFmt w:val="lowerLetter"/>
      <w:lvlText w:val="%2."/>
      <w:lvlJc w:val="left"/>
      <w:pPr>
        <w:tabs>
          <w:tab w:val="num" w:pos="1147"/>
        </w:tabs>
        <w:ind w:left="1147" w:hanging="360"/>
      </w:pPr>
    </w:lvl>
    <w:lvl w:ilvl="2" w:tplc="0409001B" w:tentative="1">
      <w:start w:val="1"/>
      <w:numFmt w:val="lowerRoman"/>
      <w:lvlText w:val="%3."/>
      <w:lvlJc w:val="right"/>
      <w:pPr>
        <w:tabs>
          <w:tab w:val="num" w:pos="1867"/>
        </w:tabs>
        <w:ind w:left="1867" w:hanging="180"/>
      </w:pPr>
    </w:lvl>
    <w:lvl w:ilvl="3" w:tplc="0409000F" w:tentative="1">
      <w:start w:val="1"/>
      <w:numFmt w:val="decimal"/>
      <w:lvlText w:val="%4."/>
      <w:lvlJc w:val="left"/>
      <w:pPr>
        <w:tabs>
          <w:tab w:val="num" w:pos="2587"/>
        </w:tabs>
        <w:ind w:left="2587" w:hanging="360"/>
      </w:pPr>
    </w:lvl>
    <w:lvl w:ilvl="4" w:tplc="04090019" w:tentative="1">
      <w:start w:val="1"/>
      <w:numFmt w:val="lowerLetter"/>
      <w:lvlText w:val="%5."/>
      <w:lvlJc w:val="left"/>
      <w:pPr>
        <w:tabs>
          <w:tab w:val="num" w:pos="3307"/>
        </w:tabs>
        <w:ind w:left="3307" w:hanging="360"/>
      </w:pPr>
    </w:lvl>
    <w:lvl w:ilvl="5" w:tplc="0409001B" w:tentative="1">
      <w:start w:val="1"/>
      <w:numFmt w:val="lowerRoman"/>
      <w:lvlText w:val="%6."/>
      <w:lvlJc w:val="right"/>
      <w:pPr>
        <w:tabs>
          <w:tab w:val="num" w:pos="4027"/>
        </w:tabs>
        <w:ind w:left="4027" w:hanging="180"/>
      </w:pPr>
    </w:lvl>
    <w:lvl w:ilvl="6" w:tplc="0409000F" w:tentative="1">
      <w:start w:val="1"/>
      <w:numFmt w:val="decimal"/>
      <w:lvlText w:val="%7."/>
      <w:lvlJc w:val="left"/>
      <w:pPr>
        <w:tabs>
          <w:tab w:val="num" w:pos="4747"/>
        </w:tabs>
        <w:ind w:left="4747" w:hanging="360"/>
      </w:pPr>
    </w:lvl>
    <w:lvl w:ilvl="7" w:tplc="04090019" w:tentative="1">
      <w:start w:val="1"/>
      <w:numFmt w:val="lowerLetter"/>
      <w:lvlText w:val="%8."/>
      <w:lvlJc w:val="left"/>
      <w:pPr>
        <w:tabs>
          <w:tab w:val="num" w:pos="5467"/>
        </w:tabs>
        <w:ind w:left="5467" w:hanging="360"/>
      </w:pPr>
    </w:lvl>
    <w:lvl w:ilvl="8" w:tplc="0409001B" w:tentative="1">
      <w:start w:val="1"/>
      <w:numFmt w:val="lowerRoman"/>
      <w:lvlText w:val="%9."/>
      <w:lvlJc w:val="right"/>
      <w:pPr>
        <w:tabs>
          <w:tab w:val="num" w:pos="6187"/>
        </w:tabs>
        <w:ind w:left="6187" w:hanging="180"/>
      </w:pPr>
    </w:lvl>
  </w:abstractNum>
  <w:abstractNum w:abstractNumId="28">
    <w:nsid w:val="43473220"/>
    <w:multiLevelType w:val="multilevel"/>
    <w:tmpl w:val="650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53919"/>
    <w:multiLevelType w:val="hybridMultilevel"/>
    <w:tmpl w:val="8896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125EA5"/>
    <w:multiLevelType w:val="hybridMultilevel"/>
    <w:tmpl w:val="4C90A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83439B"/>
    <w:multiLevelType w:val="hybridMultilevel"/>
    <w:tmpl w:val="9A7E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4A0009"/>
    <w:multiLevelType w:val="hybridMultilevel"/>
    <w:tmpl w:val="58121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3E03D3"/>
    <w:multiLevelType w:val="hybridMultilevel"/>
    <w:tmpl w:val="E3BC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4C0522"/>
    <w:multiLevelType w:val="hybridMultilevel"/>
    <w:tmpl w:val="2168D6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57B629B9"/>
    <w:multiLevelType w:val="hybridMultilevel"/>
    <w:tmpl w:val="DC4AA97A"/>
    <w:lvl w:ilvl="0" w:tplc="4A58748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585C11"/>
    <w:multiLevelType w:val="hybridMultilevel"/>
    <w:tmpl w:val="7C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F49E3"/>
    <w:multiLevelType w:val="hybridMultilevel"/>
    <w:tmpl w:val="61CEB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B3635C"/>
    <w:multiLevelType w:val="hybridMultilevel"/>
    <w:tmpl w:val="FBD4C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4A0611"/>
    <w:multiLevelType w:val="hybridMultilevel"/>
    <w:tmpl w:val="24262D4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71871FCA"/>
    <w:multiLevelType w:val="hybridMultilevel"/>
    <w:tmpl w:val="778488C6"/>
    <w:lvl w:ilvl="0" w:tplc="40090001">
      <w:start w:val="1"/>
      <w:numFmt w:val="bullet"/>
      <w:lvlText w:val=""/>
      <w:lvlJc w:val="left"/>
      <w:pPr>
        <w:ind w:left="360" w:hanging="360"/>
      </w:pPr>
      <w:rPr>
        <w:rFonts w:ascii="Symbol" w:hAnsi="Symbol" w:hint="default"/>
      </w:rPr>
    </w:lvl>
    <w:lvl w:ilvl="1" w:tplc="E39EA878">
      <w:start w:val="1"/>
      <w:numFmt w:val="bullet"/>
      <w:lvlText w:val="–"/>
      <w:lvlJc w:val="left"/>
      <w:pPr>
        <w:ind w:left="1080" w:hanging="360"/>
      </w:pPr>
      <w:rPr>
        <w:rFonts w:ascii="Calibri" w:hAnsi="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75EE0D6F"/>
    <w:multiLevelType w:val="hybridMultilevel"/>
    <w:tmpl w:val="23BC62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0"/>
  </w:num>
  <w:num w:numId="4">
    <w:abstractNumId w:val="40"/>
  </w:num>
  <w:num w:numId="5">
    <w:abstractNumId w:val="1"/>
  </w:num>
  <w:num w:numId="6">
    <w:abstractNumId w:val="14"/>
  </w:num>
  <w:num w:numId="7">
    <w:abstractNumId w:val="7"/>
  </w:num>
  <w:num w:numId="8">
    <w:abstractNumId w:val="41"/>
  </w:num>
  <w:num w:numId="9">
    <w:abstractNumId w:val="10"/>
  </w:num>
  <w:num w:numId="10">
    <w:abstractNumId w:val="33"/>
  </w:num>
  <w:num w:numId="11">
    <w:abstractNumId w:val="22"/>
  </w:num>
  <w:num w:numId="12">
    <w:abstractNumId w:val="37"/>
  </w:num>
  <w:num w:numId="13">
    <w:abstractNumId w:val="4"/>
  </w:num>
  <w:num w:numId="14">
    <w:abstractNumId w:val="32"/>
  </w:num>
  <w:num w:numId="15">
    <w:abstractNumId w:val="8"/>
  </w:num>
  <w:num w:numId="16">
    <w:abstractNumId w:val="27"/>
  </w:num>
  <w:num w:numId="17">
    <w:abstractNumId w:val="9"/>
  </w:num>
  <w:num w:numId="18">
    <w:abstractNumId w:val="35"/>
  </w:num>
  <w:num w:numId="19">
    <w:abstractNumId w:val="12"/>
  </w:num>
  <w:num w:numId="20">
    <w:abstractNumId w:val="39"/>
  </w:num>
  <w:num w:numId="21">
    <w:abstractNumId w:val="3"/>
  </w:num>
  <w:num w:numId="22">
    <w:abstractNumId w:val="21"/>
  </w:num>
  <w:num w:numId="23">
    <w:abstractNumId w:val="19"/>
  </w:num>
  <w:num w:numId="24">
    <w:abstractNumId w:val="25"/>
  </w:num>
  <w:num w:numId="25">
    <w:abstractNumId w:val="6"/>
  </w:num>
  <w:num w:numId="26">
    <w:abstractNumId w:val="38"/>
  </w:num>
  <w:num w:numId="27">
    <w:abstractNumId w:val="30"/>
  </w:num>
  <w:num w:numId="28">
    <w:abstractNumId w:val="24"/>
  </w:num>
  <w:num w:numId="29">
    <w:abstractNumId w:val="36"/>
  </w:num>
  <w:num w:numId="30">
    <w:abstractNumId w:val="29"/>
  </w:num>
  <w:num w:numId="31">
    <w:abstractNumId w:val="5"/>
  </w:num>
  <w:num w:numId="32">
    <w:abstractNumId w:val="13"/>
  </w:num>
  <w:num w:numId="33">
    <w:abstractNumId w:val="34"/>
  </w:num>
  <w:num w:numId="34">
    <w:abstractNumId w:val="18"/>
  </w:num>
  <w:num w:numId="35">
    <w:abstractNumId w:val="11"/>
  </w:num>
  <w:num w:numId="36">
    <w:abstractNumId w:val="23"/>
  </w:num>
  <w:num w:numId="37">
    <w:abstractNumId w:val="31"/>
  </w:num>
  <w:num w:numId="38">
    <w:abstractNumId w:val="28"/>
  </w:num>
  <w:num w:numId="39">
    <w:abstractNumId w:val="26"/>
  </w:num>
  <w:num w:numId="40">
    <w:abstractNumId w:val="16"/>
  </w:num>
  <w:num w:numId="41">
    <w:abstractNumId w:val="15"/>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23C7"/>
    <w:rsid w:val="000009A7"/>
    <w:rsid w:val="000018D3"/>
    <w:rsid w:val="00005BD4"/>
    <w:rsid w:val="000124D1"/>
    <w:rsid w:val="000124EE"/>
    <w:rsid w:val="000142FE"/>
    <w:rsid w:val="00015647"/>
    <w:rsid w:val="000219CF"/>
    <w:rsid w:val="00023A42"/>
    <w:rsid w:val="0002643C"/>
    <w:rsid w:val="00026A8D"/>
    <w:rsid w:val="00027049"/>
    <w:rsid w:val="00036480"/>
    <w:rsid w:val="00036E12"/>
    <w:rsid w:val="00041C71"/>
    <w:rsid w:val="000453C5"/>
    <w:rsid w:val="0006550A"/>
    <w:rsid w:val="00080E45"/>
    <w:rsid w:val="00080FE3"/>
    <w:rsid w:val="000813AA"/>
    <w:rsid w:val="00084FB3"/>
    <w:rsid w:val="00086078"/>
    <w:rsid w:val="00086E94"/>
    <w:rsid w:val="00090679"/>
    <w:rsid w:val="000A491C"/>
    <w:rsid w:val="000A4F77"/>
    <w:rsid w:val="000B3575"/>
    <w:rsid w:val="000C1AC0"/>
    <w:rsid w:val="000C39B5"/>
    <w:rsid w:val="000C3C68"/>
    <w:rsid w:val="000D362A"/>
    <w:rsid w:val="000D65E4"/>
    <w:rsid w:val="000D6E47"/>
    <w:rsid w:val="000E01C7"/>
    <w:rsid w:val="000E152E"/>
    <w:rsid w:val="000E56C2"/>
    <w:rsid w:val="000F3DEF"/>
    <w:rsid w:val="000F6FFC"/>
    <w:rsid w:val="00106702"/>
    <w:rsid w:val="00106C3F"/>
    <w:rsid w:val="0010701B"/>
    <w:rsid w:val="00115007"/>
    <w:rsid w:val="001226BC"/>
    <w:rsid w:val="001244E5"/>
    <w:rsid w:val="00125784"/>
    <w:rsid w:val="00127571"/>
    <w:rsid w:val="001318F0"/>
    <w:rsid w:val="00147BAE"/>
    <w:rsid w:val="00173D1D"/>
    <w:rsid w:val="001773BE"/>
    <w:rsid w:val="0018133F"/>
    <w:rsid w:val="00185FE5"/>
    <w:rsid w:val="00186546"/>
    <w:rsid w:val="00192887"/>
    <w:rsid w:val="00193E48"/>
    <w:rsid w:val="001957C3"/>
    <w:rsid w:val="00195815"/>
    <w:rsid w:val="00195E95"/>
    <w:rsid w:val="001A11BE"/>
    <w:rsid w:val="001A1969"/>
    <w:rsid w:val="001A658E"/>
    <w:rsid w:val="001A7D00"/>
    <w:rsid w:val="001B06E5"/>
    <w:rsid w:val="001B40FC"/>
    <w:rsid w:val="001B5EE0"/>
    <w:rsid w:val="001B776C"/>
    <w:rsid w:val="001C232B"/>
    <w:rsid w:val="001D0007"/>
    <w:rsid w:val="001D0092"/>
    <w:rsid w:val="001D2D82"/>
    <w:rsid w:val="001D2F50"/>
    <w:rsid w:val="001D63ED"/>
    <w:rsid w:val="001E24A5"/>
    <w:rsid w:val="001E36D3"/>
    <w:rsid w:val="001E4FF2"/>
    <w:rsid w:val="001E5678"/>
    <w:rsid w:val="001E71F0"/>
    <w:rsid w:val="001F19CE"/>
    <w:rsid w:val="001F3FB2"/>
    <w:rsid w:val="001F5CF4"/>
    <w:rsid w:val="001F607E"/>
    <w:rsid w:val="00202907"/>
    <w:rsid w:val="002078F5"/>
    <w:rsid w:val="0021142D"/>
    <w:rsid w:val="002120A7"/>
    <w:rsid w:val="00212428"/>
    <w:rsid w:val="00214CC8"/>
    <w:rsid w:val="00225751"/>
    <w:rsid w:val="00231839"/>
    <w:rsid w:val="00231903"/>
    <w:rsid w:val="00237FB6"/>
    <w:rsid w:val="00241571"/>
    <w:rsid w:val="00251DEF"/>
    <w:rsid w:val="00257EA2"/>
    <w:rsid w:val="0026110E"/>
    <w:rsid w:val="0027429C"/>
    <w:rsid w:val="0028020A"/>
    <w:rsid w:val="00285D30"/>
    <w:rsid w:val="00287EA3"/>
    <w:rsid w:val="00287F00"/>
    <w:rsid w:val="0029508D"/>
    <w:rsid w:val="002A43FC"/>
    <w:rsid w:val="002B1310"/>
    <w:rsid w:val="002B409B"/>
    <w:rsid w:val="002B7983"/>
    <w:rsid w:val="002C391E"/>
    <w:rsid w:val="002C5B49"/>
    <w:rsid w:val="002C7D07"/>
    <w:rsid w:val="002D0D27"/>
    <w:rsid w:val="002E3193"/>
    <w:rsid w:val="00302C59"/>
    <w:rsid w:val="00303D16"/>
    <w:rsid w:val="00310C55"/>
    <w:rsid w:val="00311235"/>
    <w:rsid w:val="00312850"/>
    <w:rsid w:val="003154FF"/>
    <w:rsid w:val="00331232"/>
    <w:rsid w:val="00332689"/>
    <w:rsid w:val="003414CB"/>
    <w:rsid w:val="003424A2"/>
    <w:rsid w:val="00350B08"/>
    <w:rsid w:val="0035626A"/>
    <w:rsid w:val="0035698D"/>
    <w:rsid w:val="00357C89"/>
    <w:rsid w:val="00361524"/>
    <w:rsid w:val="00364304"/>
    <w:rsid w:val="0036587A"/>
    <w:rsid w:val="00375165"/>
    <w:rsid w:val="003765E1"/>
    <w:rsid w:val="003776E8"/>
    <w:rsid w:val="00382580"/>
    <w:rsid w:val="003855C4"/>
    <w:rsid w:val="003870F5"/>
    <w:rsid w:val="003876EB"/>
    <w:rsid w:val="003931CB"/>
    <w:rsid w:val="00397C6B"/>
    <w:rsid w:val="003A3C33"/>
    <w:rsid w:val="003A5003"/>
    <w:rsid w:val="003A7868"/>
    <w:rsid w:val="003B1FCF"/>
    <w:rsid w:val="003B5D56"/>
    <w:rsid w:val="003C51CB"/>
    <w:rsid w:val="003D4542"/>
    <w:rsid w:val="003E0E01"/>
    <w:rsid w:val="003E28CA"/>
    <w:rsid w:val="003E48AA"/>
    <w:rsid w:val="003F3A4C"/>
    <w:rsid w:val="003F4026"/>
    <w:rsid w:val="003F4BA2"/>
    <w:rsid w:val="00430C7D"/>
    <w:rsid w:val="00433F0A"/>
    <w:rsid w:val="00435D73"/>
    <w:rsid w:val="00440098"/>
    <w:rsid w:val="00441FBE"/>
    <w:rsid w:val="00442C72"/>
    <w:rsid w:val="00444D89"/>
    <w:rsid w:val="00451FFD"/>
    <w:rsid w:val="004624BF"/>
    <w:rsid w:val="00462A81"/>
    <w:rsid w:val="00463C4C"/>
    <w:rsid w:val="004700C2"/>
    <w:rsid w:val="004739C1"/>
    <w:rsid w:val="00480FE6"/>
    <w:rsid w:val="00482A12"/>
    <w:rsid w:val="00486AD4"/>
    <w:rsid w:val="00490F12"/>
    <w:rsid w:val="00494211"/>
    <w:rsid w:val="00495EA2"/>
    <w:rsid w:val="004A1BCB"/>
    <w:rsid w:val="004A3E0A"/>
    <w:rsid w:val="004A4F2B"/>
    <w:rsid w:val="004B01BD"/>
    <w:rsid w:val="004B783E"/>
    <w:rsid w:val="004C1E94"/>
    <w:rsid w:val="004C5617"/>
    <w:rsid w:val="004D3321"/>
    <w:rsid w:val="004D4868"/>
    <w:rsid w:val="004D5C18"/>
    <w:rsid w:val="004D70E6"/>
    <w:rsid w:val="004D72FF"/>
    <w:rsid w:val="004E0545"/>
    <w:rsid w:val="004F29FA"/>
    <w:rsid w:val="004F31A3"/>
    <w:rsid w:val="00506FCC"/>
    <w:rsid w:val="00507EFB"/>
    <w:rsid w:val="005120B1"/>
    <w:rsid w:val="005221EE"/>
    <w:rsid w:val="0053143B"/>
    <w:rsid w:val="00531D98"/>
    <w:rsid w:val="0053376C"/>
    <w:rsid w:val="00535A80"/>
    <w:rsid w:val="0053693D"/>
    <w:rsid w:val="00537436"/>
    <w:rsid w:val="00541025"/>
    <w:rsid w:val="00550194"/>
    <w:rsid w:val="0055219C"/>
    <w:rsid w:val="005546C8"/>
    <w:rsid w:val="00555AEC"/>
    <w:rsid w:val="00564185"/>
    <w:rsid w:val="005644DD"/>
    <w:rsid w:val="005669BD"/>
    <w:rsid w:val="00567575"/>
    <w:rsid w:val="005701AD"/>
    <w:rsid w:val="00572457"/>
    <w:rsid w:val="00581989"/>
    <w:rsid w:val="00582C38"/>
    <w:rsid w:val="005957E3"/>
    <w:rsid w:val="005965E5"/>
    <w:rsid w:val="005A03F6"/>
    <w:rsid w:val="005A2584"/>
    <w:rsid w:val="005B1EBD"/>
    <w:rsid w:val="005B4DB1"/>
    <w:rsid w:val="005B616D"/>
    <w:rsid w:val="005B79B4"/>
    <w:rsid w:val="005C417B"/>
    <w:rsid w:val="005D7D75"/>
    <w:rsid w:val="005E0581"/>
    <w:rsid w:val="005E6C05"/>
    <w:rsid w:val="005F0926"/>
    <w:rsid w:val="005F24D5"/>
    <w:rsid w:val="005F45F5"/>
    <w:rsid w:val="005F74C4"/>
    <w:rsid w:val="005F7869"/>
    <w:rsid w:val="006012FC"/>
    <w:rsid w:val="00610122"/>
    <w:rsid w:val="00611C25"/>
    <w:rsid w:val="006163CB"/>
    <w:rsid w:val="00623D7C"/>
    <w:rsid w:val="00624839"/>
    <w:rsid w:val="006329DD"/>
    <w:rsid w:val="006362A0"/>
    <w:rsid w:val="00647794"/>
    <w:rsid w:val="00652F82"/>
    <w:rsid w:val="0066375A"/>
    <w:rsid w:val="00670EE9"/>
    <w:rsid w:val="00673C8B"/>
    <w:rsid w:val="00676C6B"/>
    <w:rsid w:val="00680B49"/>
    <w:rsid w:val="00685316"/>
    <w:rsid w:val="00686711"/>
    <w:rsid w:val="00687ACB"/>
    <w:rsid w:val="006909FB"/>
    <w:rsid w:val="00695F76"/>
    <w:rsid w:val="006A4BDF"/>
    <w:rsid w:val="006A4DD4"/>
    <w:rsid w:val="006B2079"/>
    <w:rsid w:val="006B3212"/>
    <w:rsid w:val="006B3A2D"/>
    <w:rsid w:val="006C0F5B"/>
    <w:rsid w:val="006C2083"/>
    <w:rsid w:val="006C38AA"/>
    <w:rsid w:val="006C4EB6"/>
    <w:rsid w:val="006C5724"/>
    <w:rsid w:val="006C6DB3"/>
    <w:rsid w:val="006D2800"/>
    <w:rsid w:val="006D7679"/>
    <w:rsid w:val="006E1156"/>
    <w:rsid w:val="006E54E6"/>
    <w:rsid w:val="006F2ADE"/>
    <w:rsid w:val="006F5947"/>
    <w:rsid w:val="006F5F6C"/>
    <w:rsid w:val="006F618A"/>
    <w:rsid w:val="006F65AB"/>
    <w:rsid w:val="00704534"/>
    <w:rsid w:val="00711371"/>
    <w:rsid w:val="00720570"/>
    <w:rsid w:val="007206E1"/>
    <w:rsid w:val="007219C4"/>
    <w:rsid w:val="007254AE"/>
    <w:rsid w:val="007263F0"/>
    <w:rsid w:val="007332C2"/>
    <w:rsid w:val="00744B28"/>
    <w:rsid w:val="0074554D"/>
    <w:rsid w:val="00746C18"/>
    <w:rsid w:val="00753029"/>
    <w:rsid w:val="007579A7"/>
    <w:rsid w:val="00760516"/>
    <w:rsid w:val="00766AA2"/>
    <w:rsid w:val="00772072"/>
    <w:rsid w:val="00772BA2"/>
    <w:rsid w:val="00776671"/>
    <w:rsid w:val="00782BBB"/>
    <w:rsid w:val="007868E8"/>
    <w:rsid w:val="007961E9"/>
    <w:rsid w:val="007A25D6"/>
    <w:rsid w:val="007C71FA"/>
    <w:rsid w:val="007D698B"/>
    <w:rsid w:val="007D6D23"/>
    <w:rsid w:val="007D7177"/>
    <w:rsid w:val="007E0CAA"/>
    <w:rsid w:val="007E43F9"/>
    <w:rsid w:val="007F1172"/>
    <w:rsid w:val="007F335C"/>
    <w:rsid w:val="00800185"/>
    <w:rsid w:val="00802246"/>
    <w:rsid w:val="0080773D"/>
    <w:rsid w:val="00807762"/>
    <w:rsid w:val="008124FD"/>
    <w:rsid w:val="00821B8B"/>
    <w:rsid w:val="00822555"/>
    <w:rsid w:val="008254F3"/>
    <w:rsid w:val="0082679B"/>
    <w:rsid w:val="0084280F"/>
    <w:rsid w:val="008467E4"/>
    <w:rsid w:val="008477A0"/>
    <w:rsid w:val="00854963"/>
    <w:rsid w:val="0086562F"/>
    <w:rsid w:val="0086712F"/>
    <w:rsid w:val="00877E7A"/>
    <w:rsid w:val="00890D44"/>
    <w:rsid w:val="008935F6"/>
    <w:rsid w:val="00896519"/>
    <w:rsid w:val="008A25F9"/>
    <w:rsid w:val="008B39A9"/>
    <w:rsid w:val="008C1E07"/>
    <w:rsid w:val="008C50B0"/>
    <w:rsid w:val="008D3D1A"/>
    <w:rsid w:val="008D62D4"/>
    <w:rsid w:val="008D69E4"/>
    <w:rsid w:val="008E01FD"/>
    <w:rsid w:val="008E03EA"/>
    <w:rsid w:val="008F1E17"/>
    <w:rsid w:val="008F42A1"/>
    <w:rsid w:val="008F4D8B"/>
    <w:rsid w:val="008F5F55"/>
    <w:rsid w:val="008F61CC"/>
    <w:rsid w:val="00920BD9"/>
    <w:rsid w:val="00922B2E"/>
    <w:rsid w:val="00923E5F"/>
    <w:rsid w:val="0093071A"/>
    <w:rsid w:val="00937BFC"/>
    <w:rsid w:val="0094315A"/>
    <w:rsid w:val="00943BDC"/>
    <w:rsid w:val="00951285"/>
    <w:rsid w:val="009526A8"/>
    <w:rsid w:val="00955DC5"/>
    <w:rsid w:val="00957045"/>
    <w:rsid w:val="009655D2"/>
    <w:rsid w:val="00967BFE"/>
    <w:rsid w:val="00975EB1"/>
    <w:rsid w:val="00977E15"/>
    <w:rsid w:val="009826EB"/>
    <w:rsid w:val="009941EC"/>
    <w:rsid w:val="009A33C1"/>
    <w:rsid w:val="009A36DB"/>
    <w:rsid w:val="009A5B9F"/>
    <w:rsid w:val="009A79D1"/>
    <w:rsid w:val="009B3DFB"/>
    <w:rsid w:val="009B4764"/>
    <w:rsid w:val="009B66FD"/>
    <w:rsid w:val="009C2DF0"/>
    <w:rsid w:val="009C2FBD"/>
    <w:rsid w:val="009D0B3D"/>
    <w:rsid w:val="009D1364"/>
    <w:rsid w:val="009D365B"/>
    <w:rsid w:val="009D6FD7"/>
    <w:rsid w:val="009E00CE"/>
    <w:rsid w:val="009F2097"/>
    <w:rsid w:val="009F5CC3"/>
    <w:rsid w:val="009F6344"/>
    <w:rsid w:val="00A00925"/>
    <w:rsid w:val="00A05808"/>
    <w:rsid w:val="00A0764B"/>
    <w:rsid w:val="00A11FA0"/>
    <w:rsid w:val="00A211EA"/>
    <w:rsid w:val="00A24103"/>
    <w:rsid w:val="00A334E1"/>
    <w:rsid w:val="00A37E5A"/>
    <w:rsid w:val="00A43366"/>
    <w:rsid w:val="00A4374F"/>
    <w:rsid w:val="00A4583F"/>
    <w:rsid w:val="00A64E4C"/>
    <w:rsid w:val="00A6566D"/>
    <w:rsid w:val="00A66AAE"/>
    <w:rsid w:val="00A709A9"/>
    <w:rsid w:val="00A802E0"/>
    <w:rsid w:val="00A943AF"/>
    <w:rsid w:val="00A97334"/>
    <w:rsid w:val="00AA02A2"/>
    <w:rsid w:val="00AA46D7"/>
    <w:rsid w:val="00AB0605"/>
    <w:rsid w:val="00AB4AE5"/>
    <w:rsid w:val="00AB50EB"/>
    <w:rsid w:val="00AB70BF"/>
    <w:rsid w:val="00AC043C"/>
    <w:rsid w:val="00AC15FE"/>
    <w:rsid w:val="00AC1D4C"/>
    <w:rsid w:val="00AD55FE"/>
    <w:rsid w:val="00AE02F8"/>
    <w:rsid w:val="00AE6262"/>
    <w:rsid w:val="00AE7670"/>
    <w:rsid w:val="00AE77CE"/>
    <w:rsid w:val="00AF1578"/>
    <w:rsid w:val="00AF16D1"/>
    <w:rsid w:val="00AF57C7"/>
    <w:rsid w:val="00B00556"/>
    <w:rsid w:val="00B00C45"/>
    <w:rsid w:val="00B04EAC"/>
    <w:rsid w:val="00B070C2"/>
    <w:rsid w:val="00B1050F"/>
    <w:rsid w:val="00B11C18"/>
    <w:rsid w:val="00B128E9"/>
    <w:rsid w:val="00B1324B"/>
    <w:rsid w:val="00B21526"/>
    <w:rsid w:val="00B21B0B"/>
    <w:rsid w:val="00B21C51"/>
    <w:rsid w:val="00B26BDB"/>
    <w:rsid w:val="00B30954"/>
    <w:rsid w:val="00B30BB4"/>
    <w:rsid w:val="00B3102C"/>
    <w:rsid w:val="00B322CD"/>
    <w:rsid w:val="00B33CB3"/>
    <w:rsid w:val="00B47471"/>
    <w:rsid w:val="00B51113"/>
    <w:rsid w:val="00B51B17"/>
    <w:rsid w:val="00B54936"/>
    <w:rsid w:val="00B6011C"/>
    <w:rsid w:val="00B6776C"/>
    <w:rsid w:val="00B72364"/>
    <w:rsid w:val="00B724E5"/>
    <w:rsid w:val="00B82527"/>
    <w:rsid w:val="00B82F49"/>
    <w:rsid w:val="00B84EFB"/>
    <w:rsid w:val="00B85A85"/>
    <w:rsid w:val="00B913EB"/>
    <w:rsid w:val="00B92AB3"/>
    <w:rsid w:val="00B94964"/>
    <w:rsid w:val="00BA06EB"/>
    <w:rsid w:val="00BA4DCE"/>
    <w:rsid w:val="00BA75BE"/>
    <w:rsid w:val="00BB2C07"/>
    <w:rsid w:val="00BC227A"/>
    <w:rsid w:val="00BC53B4"/>
    <w:rsid w:val="00BD0B77"/>
    <w:rsid w:val="00BD5BF2"/>
    <w:rsid w:val="00BD7AC7"/>
    <w:rsid w:val="00BE6336"/>
    <w:rsid w:val="00BF0AE9"/>
    <w:rsid w:val="00BF4093"/>
    <w:rsid w:val="00BF4605"/>
    <w:rsid w:val="00BF7A15"/>
    <w:rsid w:val="00C00345"/>
    <w:rsid w:val="00C015AA"/>
    <w:rsid w:val="00C015CF"/>
    <w:rsid w:val="00C01EB5"/>
    <w:rsid w:val="00C10CBD"/>
    <w:rsid w:val="00C15B4B"/>
    <w:rsid w:val="00C21C2E"/>
    <w:rsid w:val="00C22737"/>
    <w:rsid w:val="00C351F6"/>
    <w:rsid w:val="00C36CB5"/>
    <w:rsid w:val="00C46A4F"/>
    <w:rsid w:val="00C5008B"/>
    <w:rsid w:val="00C5504D"/>
    <w:rsid w:val="00C56E33"/>
    <w:rsid w:val="00C570A8"/>
    <w:rsid w:val="00C61E50"/>
    <w:rsid w:val="00C61FAF"/>
    <w:rsid w:val="00C62950"/>
    <w:rsid w:val="00C706FF"/>
    <w:rsid w:val="00C741E3"/>
    <w:rsid w:val="00C755EB"/>
    <w:rsid w:val="00C81D33"/>
    <w:rsid w:val="00C87BBD"/>
    <w:rsid w:val="00C94CB3"/>
    <w:rsid w:val="00C976DA"/>
    <w:rsid w:val="00CA213C"/>
    <w:rsid w:val="00CA66F8"/>
    <w:rsid w:val="00CB0971"/>
    <w:rsid w:val="00CC0223"/>
    <w:rsid w:val="00CC1648"/>
    <w:rsid w:val="00CD2A79"/>
    <w:rsid w:val="00CD46F6"/>
    <w:rsid w:val="00CE1658"/>
    <w:rsid w:val="00CE245F"/>
    <w:rsid w:val="00D01664"/>
    <w:rsid w:val="00D02276"/>
    <w:rsid w:val="00D04324"/>
    <w:rsid w:val="00D1314F"/>
    <w:rsid w:val="00D16163"/>
    <w:rsid w:val="00D1681D"/>
    <w:rsid w:val="00D22D5B"/>
    <w:rsid w:val="00D25AD8"/>
    <w:rsid w:val="00D27C67"/>
    <w:rsid w:val="00D32F9E"/>
    <w:rsid w:val="00D34FDB"/>
    <w:rsid w:val="00D37B24"/>
    <w:rsid w:val="00D41C61"/>
    <w:rsid w:val="00D45017"/>
    <w:rsid w:val="00D53CB1"/>
    <w:rsid w:val="00D638B0"/>
    <w:rsid w:val="00D65A28"/>
    <w:rsid w:val="00D65BBB"/>
    <w:rsid w:val="00D6722C"/>
    <w:rsid w:val="00D729CD"/>
    <w:rsid w:val="00D81FAE"/>
    <w:rsid w:val="00D82AAC"/>
    <w:rsid w:val="00D833F1"/>
    <w:rsid w:val="00D9424D"/>
    <w:rsid w:val="00D96883"/>
    <w:rsid w:val="00D97A7D"/>
    <w:rsid w:val="00DA2211"/>
    <w:rsid w:val="00DB4418"/>
    <w:rsid w:val="00DC167D"/>
    <w:rsid w:val="00DC29B5"/>
    <w:rsid w:val="00DE29DE"/>
    <w:rsid w:val="00DF700E"/>
    <w:rsid w:val="00E03DD3"/>
    <w:rsid w:val="00E05BE5"/>
    <w:rsid w:val="00E07760"/>
    <w:rsid w:val="00E13482"/>
    <w:rsid w:val="00E1748F"/>
    <w:rsid w:val="00E223C7"/>
    <w:rsid w:val="00E25342"/>
    <w:rsid w:val="00E25B23"/>
    <w:rsid w:val="00E25F03"/>
    <w:rsid w:val="00E267A1"/>
    <w:rsid w:val="00E3561F"/>
    <w:rsid w:val="00E356C6"/>
    <w:rsid w:val="00E43C1B"/>
    <w:rsid w:val="00E45394"/>
    <w:rsid w:val="00E5675B"/>
    <w:rsid w:val="00E57CCA"/>
    <w:rsid w:val="00E6385B"/>
    <w:rsid w:val="00E64B5A"/>
    <w:rsid w:val="00E65385"/>
    <w:rsid w:val="00E65C61"/>
    <w:rsid w:val="00E6689B"/>
    <w:rsid w:val="00E75D72"/>
    <w:rsid w:val="00E75E83"/>
    <w:rsid w:val="00E778AC"/>
    <w:rsid w:val="00E85652"/>
    <w:rsid w:val="00E9423F"/>
    <w:rsid w:val="00E95F30"/>
    <w:rsid w:val="00EA337E"/>
    <w:rsid w:val="00EA392E"/>
    <w:rsid w:val="00EA4654"/>
    <w:rsid w:val="00EA4A0B"/>
    <w:rsid w:val="00EB1783"/>
    <w:rsid w:val="00EB5194"/>
    <w:rsid w:val="00EC3485"/>
    <w:rsid w:val="00ED5459"/>
    <w:rsid w:val="00ED6081"/>
    <w:rsid w:val="00EE73A8"/>
    <w:rsid w:val="00EF31D8"/>
    <w:rsid w:val="00EF59C0"/>
    <w:rsid w:val="00F016AE"/>
    <w:rsid w:val="00F14437"/>
    <w:rsid w:val="00F15B99"/>
    <w:rsid w:val="00F21D96"/>
    <w:rsid w:val="00F321EF"/>
    <w:rsid w:val="00F3326A"/>
    <w:rsid w:val="00F40DF6"/>
    <w:rsid w:val="00F473ED"/>
    <w:rsid w:val="00F50BA8"/>
    <w:rsid w:val="00F50F54"/>
    <w:rsid w:val="00F51925"/>
    <w:rsid w:val="00F637A7"/>
    <w:rsid w:val="00F6465B"/>
    <w:rsid w:val="00F737D4"/>
    <w:rsid w:val="00F75063"/>
    <w:rsid w:val="00F759C3"/>
    <w:rsid w:val="00F82C9F"/>
    <w:rsid w:val="00F82D95"/>
    <w:rsid w:val="00F8399E"/>
    <w:rsid w:val="00FA0EC1"/>
    <w:rsid w:val="00FA1220"/>
    <w:rsid w:val="00FA1738"/>
    <w:rsid w:val="00FA2A1D"/>
    <w:rsid w:val="00FB085D"/>
    <w:rsid w:val="00FB2867"/>
    <w:rsid w:val="00FC6208"/>
    <w:rsid w:val="00FC6F87"/>
    <w:rsid w:val="00FD5B25"/>
    <w:rsid w:val="00FE1562"/>
    <w:rsid w:val="00FE3831"/>
    <w:rsid w:val="00FE5A95"/>
    <w:rsid w:val="00FF09BA"/>
    <w:rsid w:val="00FF21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C7"/>
    <w:rPr>
      <w:rFonts w:eastAsiaTheme="minorEastAsia"/>
      <w:lang w:val="en-IN" w:eastAsia="en-IN"/>
    </w:rPr>
  </w:style>
  <w:style w:type="paragraph" w:styleId="Heading1">
    <w:name w:val="heading 1"/>
    <w:basedOn w:val="Normal"/>
    <w:next w:val="Normal"/>
    <w:link w:val="Heading1Char"/>
    <w:uiPriority w:val="9"/>
    <w:qFormat/>
    <w:rsid w:val="00E22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3C7"/>
    <w:rPr>
      <w:rFonts w:asciiTheme="majorHAnsi" w:eastAsiaTheme="majorEastAsia" w:hAnsiTheme="majorHAnsi" w:cstheme="majorBidi"/>
      <w:b/>
      <w:bCs/>
      <w:color w:val="365F91" w:themeColor="accent1" w:themeShade="BF"/>
      <w:sz w:val="28"/>
      <w:szCs w:val="28"/>
      <w:lang w:val="en-IN" w:eastAsia="en-IN"/>
    </w:rPr>
  </w:style>
  <w:style w:type="paragraph" w:styleId="ListParagraph">
    <w:name w:val="List Paragraph"/>
    <w:basedOn w:val="Normal"/>
    <w:uiPriority w:val="34"/>
    <w:qFormat/>
    <w:rsid w:val="00E223C7"/>
    <w:pPr>
      <w:ind w:left="720"/>
      <w:contextualSpacing/>
    </w:pPr>
  </w:style>
  <w:style w:type="character" w:styleId="Hyperlink">
    <w:name w:val="Hyperlink"/>
    <w:basedOn w:val="DefaultParagraphFont"/>
    <w:uiPriority w:val="99"/>
    <w:unhideWhenUsed/>
    <w:rsid w:val="000219CF"/>
    <w:rPr>
      <w:color w:val="0000FF" w:themeColor="hyperlink"/>
      <w:u w:val="single"/>
    </w:rPr>
  </w:style>
  <w:style w:type="character" w:styleId="FollowedHyperlink">
    <w:name w:val="FollowedHyperlink"/>
    <w:basedOn w:val="DefaultParagraphFont"/>
    <w:uiPriority w:val="99"/>
    <w:semiHidden/>
    <w:unhideWhenUsed/>
    <w:rsid w:val="000219CF"/>
    <w:rPr>
      <w:color w:val="800080" w:themeColor="followedHyperlink"/>
      <w:u w:val="single"/>
    </w:rPr>
  </w:style>
  <w:style w:type="paragraph" w:customStyle="1" w:styleId="body">
    <w:name w:val="body"/>
    <w:basedOn w:val="Normal"/>
    <w:rsid w:val="003F3A4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C5008B"/>
    <w:pPr>
      <w:autoSpaceDE w:val="0"/>
      <w:autoSpaceDN w:val="0"/>
      <w:adjustRightInd w:val="0"/>
      <w:spacing w:after="0" w:line="240" w:lineRule="auto"/>
    </w:pPr>
    <w:rPr>
      <w:rFonts w:ascii="Century" w:hAnsi="Century" w:cs="Century"/>
      <w:color w:val="000000"/>
      <w:sz w:val="24"/>
      <w:szCs w:val="24"/>
    </w:rPr>
  </w:style>
  <w:style w:type="paragraph" w:styleId="NormalWeb">
    <w:name w:val="Normal (Web)"/>
    <w:basedOn w:val="Normal"/>
    <w:uiPriority w:val="99"/>
    <w:unhideWhenUsed/>
    <w:rsid w:val="00D65A28"/>
    <w:rPr>
      <w:rFonts w:ascii="Times New Roman" w:hAnsi="Times New Roman" w:cs="Times New Roman"/>
      <w:sz w:val="24"/>
      <w:szCs w:val="24"/>
    </w:rPr>
  </w:style>
  <w:style w:type="paragraph" w:styleId="FootnoteText">
    <w:name w:val="footnote text"/>
    <w:basedOn w:val="Normal"/>
    <w:link w:val="FootnoteTextChar"/>
    <w:unhideWhenUsed/>
    <w:rsid w:val="00C36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CB5"/>
    <w:rPr>
      <w:rFonts w:eastAsiaTheme="minorEastAsia"/>
      <w:sz w:val="20"/>
      <w:szCs w:val="20"/>
      <w:lang w:val="en-IN" w:eastAsia="en-IN"/>
    </w:rPr>
  </w:style>
  <w:style w:type="character" w:styleId="FootnoteReference">
    <w:name w:val="footnote reference"/>
    <w:basedOn w:val="DefaultParagraphFont"/>
    <w:uiPriority w:val="99"/>
    <w:semiHidden/>
    <w:unhideWhenUsed/>
    <w:rsid w:val="00C36CB5"/>
    <w:rPr>
      <w:vertAlign w:val="superscript"/>
    </w:rPr>
  </w:style>
  <w:style w:type="table" w:styleId="TableGrid">
    <w:name w:val="Table Grid"/>
    <w:basedOn w:val="TableNormal"/>
    <w:uiPriority w:val="59"/>
    <w:rsid w:val="00B3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66D"/>
    <w:rPr>
      <w:rFonts w:eastAsiaTheme="minorEastAsia"/>
      <w:lang w:val="en-IN" w:eastAsia="en-IN"/>
    </w:rPr>
  </w:style>
  <w:style w:type="paragraph" w:styleId="Footer">
    <w:name w:val="footer"/>
    <w:basedOn w:val="Normal"/>
    <w:link w:val="FooterChar"/>
    <w:uiPriority w:val="99"/>
    <w:semiHidden/>
    <w:unhideWhenUsed/>
    <w:rsid w:val="00A65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66D"/>
    <w:rPr>
      <w:rFonts w:eastAsiaTheme="minorEastAsia"/>
      <w:lang w:val="en-IN" w:eastAsia="en-IN"/>
    </w:rPr>
  </w:style>
  <w:style w:type="paragraph" w:customStyle="1" w:styleId="news">
    <w:name w:val="news"/>
    <w:basedOn w:val="Normal"/>
    <w:rsid w:val="008467E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467E4"/>
    <w:rPr>
      <w:b/>
      <w:bCs/>
    </w:rPr>
  </w:style>
  <w:style w:type="character" w:customStyle="1" w:styleId="apple-converted-space">
    <w:name w:val="apple-converted-space"/>
    <w:basedOn w:val="DefaultParagraphFont"/>
    <w:rsid w:val="008467E4"/>
  </w:style>
  <w:style w:type="character" w:styleId="Emphasis">
    <w:name w:val="Emphasis"/>
    <w:basedOn w:val="DefaultParagraphFont"/>
    <w:uiPriority w:val="20"/>
    <w:qFormat/>
    <w:rsid w:val="001F5CF4"/>
    <w:rPr>
      <w:i/>
      <w:iCs/>
    </w:rPr>
  </w:style>
  <w:style w:type="character" w:customStyle="1" w:styleId="in-widget">
    <w:name w:val="in-widget"/>
    <w:basedOn w:val="DefaultParagraphFont"/>
    <w:rsid w:val="001F5CF4"/>
  </w:style>
  <w:style w:type="character" w:customStyle="1" w:styleId="more01">
    <w:name w:val="more01"/>
    <w:basedOn w:val="DefaultParagraphFont"/>
    <w:rsid w:val="00C755EB"/>
  </w:style>
  <w:style w:type="character" w:customStyle="1" w:styleId="searchword">
    <w:name w:val="searchword"/>
    <w:basedOn w:val="DefaultParagraphFont"/>
    <w:rsid w:val="007219C4"/>
  </w:style>
  <w:style w:type="paragraph" w:styleId="NoSpacing">
    <w:name w:val="No Spacing"/>
    <w:link w:val="NoSpacingChar"/>
    <w:uiPriority w:val="1"/>
    <w:qFormat/>
    <w:rsid w:val="000C3C68"/>
    <w:pPr>
      <w:spacing w:after="0" w:line="240" w:lineRule="auto"/>
    </w:pPr>
    <w:rPr>
      <w:rFonts w:eastAsiaTheme="minorEastAsia"/>
    </w:rPr>
  </w:style>
  <w:style w:type="character" w:customStyle="1" w:styleId="NoSpacingChar">
    <w:name w:val="No Spacing Char"/>
    <w:basedOn w:val="DefaultParagraphFont"/>
    <w:link w:val="NoSpacing"/>
    <w:uiPriority w:val="1"/>
    <w:rsid w:val="000C3C68"/>
    <w:rPr>
      <w:rFonts w:eastAsiaTheme="minorEastAsia"/>
    </w:rPr>
  </w:style>
  <w:style w:type="paragraph" w:styleId="BalloonText">
    <w:name w:val="Balloon Text"/>
    <w:basedOn w:val="Normal"/>
    <w:link w:val="BalloonTextChar"/>
    <w:uiPriority w:val="99"/>
    <w:semiHidden/>
    <w:unhideWhenUsed/>
    <w:rsid w:val="000C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68"/>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divs>
    <w:div w:id="31729496">
      <w:bodyDiv w:val="1"/>
      <w:marLeft w:val="0"/>
      <w:marRight w:val="0"/>
      <w:marTop w:val="0"/>
      <w:marBottom w:val="0"/>
      <w:divBdr>
        <w:top w:val="none" w:sz="0" w:space="0" w:color="auto"/>
        <w:left w:val="none" w:sz="0" w:space="0" w:color="auto"/>
        <w:bottom w:val="none" w:sz="0" w:space="0" w:color="auto"/>
        <w:right w:val="none" w:sz="0" w:space="0" w:color="auto"/>
      </w:divBdr>
    </w:div>
    <w:div w:id="43070584">
      <w:bodyDiv w:val="1"/>
      <w:marLeft w:val="0"/>
      <w:marRight w:val="0"/>
      <w:marTop w:val="0"/>
      <w:marBottom w:val="0"/>
      <w:divBdr>
        <w:top w:val="none" w:sz="0" w:space="0" w:color="auto"/>
        <w:left w:val="none" w:sz="0" w:space="0" w:color="auto"/>
        <w:bottom w:val="none" w:sz="0" w:space="0" w:color="auto"/>
        <w:right w:val="none" w:sz="0" w:space="0" w:color="auto"/>
      </w:divBdr>
    </w:div>
    <w:div w:id="68889501">
      <w:bodyDiv w:val="1"/>
      <w:marLeft w:val="0"/>
      <w:marRight w:val="0"/>
      <w:marTop w:val="0"/>
      <w:marBottom w:val="0"/>
      <w:divBdr>
        <w:top w:val="none" w:sz="0" w:space="0" w:color="auto"/>
        <w:left w:val="none" w:sz="0" w:space="0" w:color="auto"/>
        <w:bottom w:val="none" w:sz="0" w:space="0" w:color="auto"/>
        <w:right w:val="none" w:sz="0" w:space="0" w:color="auto"/>
      </w:divBdr>
    </w:div>
    <w:div w:id="82731141">
      <w:bodyDiv w:val="1"/>
      <w:marLeft w:val="0"/>
      <w:marRight w:val="0"/>
      <w:marTop w:val="0"/>
      <w:marBottom w:val="0"/>
      <w:divBdr>
        <w:top w:val="none" w:sz="0" w:space="0" w:color="auto"/>
        <w:left w:val="none" w:sz="0" w:space="0" w:color="auto"/>
        <w:bottom w:val="none" w:sz="0" w:space="0" w:color="auto"/>
        <w:right w:val="none" w:sz="0" w:space="0" w:color="auto"/>
      </w:divBdr>
    </w:div>
    <w:div w:id="98381353">
      <w:bodyDiv w:val="1"/>
      <w:marLeft w:val="0"/>
      <w:marRight w:val="0"/>
      <w:marTop w:val="0"/>
      <w:marBottom w:val="0"/>
      <w:divBdr>
        <w:top w:val="none" w:sz="0" w:space="0" w:color="auto"/>
        <w:left w:val="none" w:sz="0" w:space="0" w:color="auto"/>
        <w:bottom w:val="none" w:sz="0" w:space="0" w:color="auto"/>
        <w:right w:val="none" w:sz="0" w:space="0" w:color="auto"/>
      </w:divBdr>
    </w:div>
    <w:div w:id="101998372">
      <w:bodyDiv w:val="1"/>
      <w:marLeft w:val="0"/>
      <w:marRight w:val="0"/>
      <w:marTop w:val="300"/>
      <w:marBottom w:val="0"/>
      <w:divBdr>
        <w:top w:val="none" w:sz="0" w:space="0" w:color="auto"/>
        <w:left w:val="none" w:sz="0" w:space="0" w:color="auto"/>
        <w:bottom w:val="none" w:sz="0" w:space="0" w:color="auto"/>
        <w:right w:val="none" w:sz="0" w:space="0" w:color="auto"/>
      </w:divBdr>
      <w:divsChild>
        <w:div w:id="1249117134">
          <w:marLeft w:val="0"/>
          <w:marRight w:val="0"/>
          <w:marTop w:val="0"/>
          <w:marBottom w:val="0"/>
          <w:divBdr>
            <w:top w:val="none" w:sz="0" w:space="0" w:color="auto"/>
            <w:left w:val="none" w:sz="0" w:space="0" w:color="auto"/>
            <w:bottom w:val="none" w:sz="0" w:space="0" w:color="auto"/>
            <w:right w:val="none" w:sz="0" w:space="0" w:color="auto"/>
          </w:divBdr>
          <w:divsChild>
            <w:div w:id="1633486093">
              <w:marLeft w:val="0"/>
              <w:marRight w:val="0"/>
              <w:marTop w:val="0"/>
              <w:marBottom w:val="0"/>
              <w:divBdr>
                <w:top w:val="none" w:sz="0" w:space="0" w:color="auto"/>
                <w:left w:val="none" w:sz="0" w:space="0" w:color="auto"/>
                <w:bottom w:val="none" w:sz="0" w:space="0" w:color="auto"/>
                <w:right w:val="none" w:sz="0" w:space="0" w:color="auto"/>
              </w:divBdr>
              <w:divsChild>
                <w:div w:id="724530377">
                  <w:marLeft w:val="0"/>
                  <w:marRight w:val="0"/>
                  <w:marTop w:val="0"/>
                  <w:marBottom w:val="0"/>
                  <w:divBdr>
                    <w:top w:val="single" w:sz="6" w:space="0" w:color="A9D0E3"/>
                    <w:left w:val="single" w:sz="6" w:space="0" w:color="A9D0E3"/>
                    <w:bottom w:val="single" w:sz="6" w:space="0" w:color="A9D0E3"/>
                    <w:right w:val="single" w:sz="6" w:space="0" w:color="A9D0E3"/>
                  </w:divBdr>
                  <w:divsChild>
                    <w:div w:id="183135784">
                      <w:marLeft w:val="0"/>
                      <w:marRight w:val="0"/>
                      <w:marTop w:val="0"/>
                      <w:marBottom w:val="0"/>
                      <w:divBdr>
                        <w:top w:val="none" w:sz="0" w:space="0" w:color="auto"/>
                        <w:left w:val="none" w:sz="0" w:space="0" w:color="auto"/>
                        <w:bottom w:val="none" w:sz="0" w:space="0" w:color="auto"/>
                        <w:right w:val="none" w:sz="0" w:space="0" w:color="auto"/>
                      </w:divBdr>
                      <w:divsChild>
                        <w:div w:id="1504008662">
                          <w:marLeft w:val="0"/>
                          <w:marRight w:val="0"/>
                          <w:marTop w:val="0"/>
                          <w:marBottom w:val="0"/>
                          <w:divBdr>
                            <w:top w:val="none" w:sz="0" w:space="0" w:color="auto"/>
                            <w:left w:val="none" w:sz="0" w:space="0" w:color="auto"/>
                            <w:bottom w:val="none" w:sz="0" w:space="0" w:color="auto"/>
                            <w:right w:val="none" w:sz="0" w:space="0" w:color="auto"/>
                          </w:divBdr>
                          <w:divsChild>
                            <w:div w:id="2108113029">
                              <w:marLeft w:val="225"/>
                              <w:marRight w:val="0"/>
                              <w:marTop w:val="0"/>
                              <w:marBottom w:val="0"/>
                              <w:divBdr>
                                <w:top w:val="none" w:sz="0" w:space="0" w:color="auto"/>
                                <w:left w:val="none" w:sz="0" w:space="0" w:color="auto"/>
                                <w:bottom w:val="none" w:sz="0" w:space="0" w:color="auto"/>
                                <w:right w:val="none" w:sz="0" w:space="0" w:color="auto"/>
                              </w:divBdr>
                              <w:divsChild>
                                <w:div w:id="185026415">
                                  <w:marLeft w:val="0"/>
                                  <w:marRight w:val="0"/>
                                  <w:marTop w:val="120"/>
                                  <w:marBottom w:val="480"/>
                                  <w:divBdr>
                                    <w:top w:val="none" w:sz="0" w:space="0" w:color="auto"/>
                                    <w:left w:val="none" w:sz="0" w:space="0" w:color="auto"/>
                                    <w:bottom w:val="none" w:sz="0" w:space="0" w:color="auto"/>
                                    <w:right w:val="none" w:sz="0" w:space="0" w:color="auto"/>
                                  </w:divBdr>
                                  <w:divsChild>
                                    <w:div w:id="1163667205">
                                      <w:marLeft w:val="0"/>
                                      <w:marRight w:val="0"/>
                                      <w:marTop w:val="120"/>
                                      <w:marBottom w:val="120"/>
                                      <w:divBdr>
                                        <w:top w:val="none" w:sz="0" w:space="0" w:color="auto"/>
                                        <w:left w:val="none" w:sz="0" w:space="0" w:color="auto"/>
                                        <w:bottom w:val="none" w:sz="0" w:space="0" w:color="auto"/>
                                        <w:right w:val="none" w:sz="0" w:space="0" w:color="auto"/>
                                      </w:divBdr>
                                      <w:divsChild>
                                        <w:div w:id="574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77452">
      <w:bodyDiv w:val="1"/>
      <w:marLeft w:val="0"/>
      <w:marRight w:val="0"/>
      <w:marTop w:val="0"/>
      <w:marBottom w:val="0"/>
      <w:divBdr>
        <w:top w:val="none" w:sz="0" w:space="0" w:color="auto"/>
        <w:left w:val="none" w:sz="0" w:space="0" w:color="auto"/>
        <w:bottom w:val="none" w:sz="0" w:space="0" w:color="auto"/>
        <w:right w:val="none" w:sz="0" w:space="0" w:color="auto"/>
      </w:divBdr>
    </w:div>
    <w:div w:id="122580108">
      <w:bodyDiv w:val="1"/>
      <w:marLeft w:val="0"/>
      <w:marRight w:val="0"/>
      <w:marTop w:val="0"/>
      <w:marBottom w:val="0"/>
      <w:divBdr>
        <w:top w:val="none" w:sz="0" w:space="0" w:color="auto"/>
        <w:left w:val="none" w:sz="0" w:space="0" w:color="auto"/>
        <w:bottom w:val="none" w:sz="0" w:space="0" w:color="auto"/>
        <w:right w:val="none" w:sz="0" w:space="0" w:color="auto"/>
      </w:divBdr>
    </w:div>
    <w:div w:id="154036609">
      <w:bodyDiv w:val="1"/>
      <w:marLeft w:val="0"/>
      <w:marRight w:val="0"/>
      <w:marTop w:val="0"/>
      <w:marBottom w:val="0"/>
      <w:divBdr>
        <w:top w:val="none" w:sz="0" w:space="0" w:color="auto"/>
        <w:left w:val="none" w:sz="0" w:space="0" w:color="auto"/>
        <w:bottom w:val="none" w:sz="0" w:space="0" w:color="auto"/>
        <w:right w:val="none" w:sz="0" w:space="0" w:color="auto"/>
      </w:divBdr>
    </w:div>
    <w:div w:id="188764502">
      <w:bodyDiv w:val="1"/>
      <w:marLeft w:val="0"/>
      <w:marRight w:val="0"/>
      <w:marTop w:val="0"/>
      <w:marBottom w:val="0"/>
      <w:divBdr>
        <w:top w:val="none" w:sz="0" w:space="0" w:color="auto"/>
        <w:left w:val="none" w:sz="0" w:space="0" w:color="auto"/>
        <w:bottom w:val="none" w:sz="0" w:space="0" w:color="auto"/>
        <w:right w:val="none" w:sz="0" w:space="0" w:color="auto"/>
      </w:divBdr>
    </w:div>
    <w:div w:id="191307877">
      <w:bodyDiv w:val="1"/>
      <w:marLeft w:val="0"/>
      <w:marRight w:val="0"/>
      <w:marTop w:val="0"/>
      <w:marBottom w:val="0"/>
      <w:divBdr>
        <w:top w:val="none" w:sz="0" w:space="0" w:color="auto"/>
        <w:left w:val="none" w:sz="0" w:space="0" w:color="auto"/>
        <w:bottom w:val="none" w:sz="0" w:space="0" w:color="auto"/>
        <w:right w:val="none" w:sz="0" w:space="0" w:color="auto"/>
      </w:divBdr>
    </w:div>
    <w:div w:id="345913569">
      <w:bodyDiv w:val="1"/>
      <w:marLeft w:val="0"/>
      <w:marRight w:val="0"/>
      <w:marTop w:val="0"/>
      <w:marBottom w:val="0"/>
      <w:divBdr>
        <w:top w:val="none" w:sz="0" w:space="0" w:color="auto"/>
        <w:left w:val="none" w:sz="0" w:space="0" w:color="auto"/>
        <w:bottom w:val="none" w:sz="0" w:space="0" w:color="auto"/>
        <w:right w:val="none" w:sz="0" w:space="0" w:color="auto"/>
      </w:divBdr>
      <w:divsChild>
        <w:div w:id="1247112997">
          <w:marLeft w:val="0"/>
          <w:marRight w:val="0"/>
          <w:marTop w:val="0"/>
          <w:marBottom w:val="150"/>
          <w:divBdr>
            <w:top w:val="none" w:sz="0" w:space="0" w:color="auto"/>
            <w:left w:val="none" w:sz="0" w:space="0" w:color="auto"/>
            <w:bottom w:val="single" w:sz="6" w:space="0" w:color="C1C1C1"/>
            <w:right w:val="none" w:sz="0" w:space="0" w:color="auto"/>
          </w:divBdr>
          <w:divsChild>
            <w:div w:id="819033211">
              <w:marLeft w:val="0"/>
              <w:marRight w:val="0"/>
              <w:marTop w:val="0"/>
              <w:marBottom w:val="0"/>
              <w:divBdr>
                <w:top w:val="none" w:sz="0" w:space="0" w:color="auto"/>
                <w:left w:val="none" w:sz="0" w:space="0" w:color="auto"/>
                <w:bottom w:val="none" w:sz="0" w:space="0" w:color="auto"/>
                <w:right w:val="none" w:sz="0" w:space="0" w:color="auto"/>
              </w:divBdr>
              <w:divsChild>
                <w:div w:id="1579486794">
                  <w:marLeft w:val="0"/>
                  <w:marRight w:val="0"/>
                  <w:marTop w:val="0"/>
                  <w:marBottom w:val="0"/>
                  <w:divBdr>
                    <w:top w:val="none" w:sz="0" w:space="0" w:color="auto"/>
                    <w:left w:val="none" w:sz="0" w:space="0" w:color="auto"/>
                    <w:bottom w:val="none" w:sz="0" w:space="0" w:color="auto"/>
                    <w:right w:val="none" w:sz="0" w:space="0" w:color="auto"/>
                  </w:divBdr>
                  <w:divsChild>
                    <w:div w:id="833178221">
                      <w:marLeft w:val="0"/>
                      <w:marRight w:val="0"/>
                      <w:marTop w:val="0"/>
                      <w:marBottom w:val="0"/>
                      <w:divBdr>
                        <w:top w:val="none" w:sz="0" w:space="0" w:color="auto"/>
                        <w:left w:val="none" w:sz="0" w:space="0" w:color="auto"/>
                        <w:bottom w:val="none" w:sz="0" w:space="0" w:color="auto"/>
                        <w:right w:val="none" w:sz="0" w:space="0" w:color="auto"/>
                      </w:divBdr>
                    </w:div>
                    <w:div w:id="4408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38322">
      <w:bodyDiv w:val="1"/>
      <w:marLeft w:val="0"/>
      <w:marRight w:val="0"/>
      <w:marTop w:val="300"/>
      <w:marBottom w:val="0"/>
      <w:divBdr>
        <w:top w:val="none" w:sz="0" w:space="0" w:color="auto"/>
        <w:left w:val="none" w:sz="0" w:space="0" w:color="auto"/>
        <w:bottom w:val="none" w:sz="0" w:space="0" w:color="auto"/>
        <w:right w:val="none" w:sz="0" w:space="0" w:color="auto"/>
      </w:divBdr>
      <w:divsChild>
        <w:div w:id="504251154">
          <w:marLeft w:val="0"/>
          <w:marRight w:val="0"/>
          <w:marTop w:val="0"/>
          <w:marBottom w:val="0"/>
          <w:divBdr>
            <w:top w:val="none" w:sz="0" w:space="0" w:color="auto"/>
            <w:left w:val="none" w:sz="0" w:space="0" w:color="auto"/>
            <w:bottom w:val="none" w:sz="0" w:space="0" w:color="auto"/>
            <w:right w:val="none" w:sz="0" w:space="0" w:color="auto"/>
          </w:divBdr>
          <w:divsChild>
            <w:div w:id="181552113">
              <w:marLeft w:val="0"/>
              <w:marRight w:val="0"/>
              <w:marTop w:val="0"/>
              <w:marBottom w:val="0"/>
              <w:divBdr>
                <w:top w:val="none" w:sz="0" w:space="0" w:color="auto"/>
                <w:left w:val="none" w:sz="0" w:space="0" w:color="auto"/>
                <w:bottom w:val="none" w:sz="0" w:space="0" w:color="auto"/>
                <w:right w:val="none" w:sz="0" w:space="0" w:color="auto"/>
              </w:divBdr>
              <w:divsChild>
                <w:div w:id="1276519523">
                  <w:marLeft w:val="0"/>
                  <w:marRight w:val="0"/>
                  <w:marTop w:val="0"/>
                  <w:marBottom w:val="0"/>
                  <w:divBdr>
                    <w:top w:val="single" w:sz="6" w:space="0" w:color="A9D0E3"/>
                    <w:left w:val="single" w:sz="6" w:space="0" w:color="A9D0E3"/>
                    <w:bottom w:val="single" w:sz="6" w:space="0" w:color="A9D0E3"/>
                    <w:right w:val="single" w:sz="6" w:space="0" w:color="A9D0E3"/>
                  </w:divBdr>
                  <w:divsChild>
                    <w:div w:id="1826630985">
                      <w:marLeft w:val="0"/>
                      <w:marRight w:val="0"/>
                      <w:marTop w:val="0"/>
                      <w:marBottom w:val="0"/>
                      <w:divBdr>
                        <w:top w:val="none" w:sz="0" w:space="0" w:color="auto"/>
                        <w:left w:val="none" w:sz="0" w:space="0" w:color="auto"/>
                        <w:bottom w:val="none" w:sz="0" w:space="0" w:color="auto"/>
                        <w:right w:val="none" w:sz="0" w:space="0" w:color="auto"/>
                      </w:divBdr>
                      <w:divsChild>
                        <w:div w:id="1090154286">
                          <w:marLeft w:val="0"/>
                          <w:marRight w:val="0"/>
                          <w:marTop w:val="0"/>
                          <w:marBottom w:val="0"/>
                          <w:divBdr>
                            <w:top w:val="none" w:sz="0" w:space="0" w:color="auto"/>
                            <w:left w:val="none" w:sz="0" w:space="0" w:color="auto"/>
                            <w:bottom w:val="none" w:sz="0" w:space="0" w:color="auto"/>
                            <w:right w:val="none" w:sz="0" w:space="0" w:color="auto"/>
                          </w:divBdr>
                          <w:divsChild>
                            <w:div w:id="463502700">
                              <w:marLeft w:val="225"/>
                              <w:marRight w:val="0"/>
                              <w:marTop w:val="0"/>
                              <w:marBottom w:val="0"/>
                              <w:divBdr>
                                <w:top w:val="none" w:sz="0" w:space="0" w:color="auto"/>
                                <w:left w:val="none" w:sz="0" w:space="0" w:color="auto"/>
                                <w:bottom w:val="none" w:sz="0" w:space="0" w:color="auto"/>
                                <w:right w:val="none" w:sz="0" w:space="0" w:color="auto"/>
                              </w:divBdr>
                              <w:divsChild>
                                <w:div w:id="106124441">
                                  <w:marLeft w:val="0"/>
                                  <w:marRight w:val="0"/>
                                  <w:marTop w:val="120"/>
                                  <w:marBottom w:val="480"/>
                                  <w:divBdr>
                                    <w:top w:val="none" w:sz="0" w:space="0" w:color="auto"/>
                                    <w:left w:val="none" w:sz="0" w:space="0" w:color="auto"/>
                                    <w:bottom w:val="none" w:sz="0" w:space="0" w:color="auto"/>
                                    <w:right w:val="none" w:sz="0" w:space="0" w:color="auto"/>
                                  </w:divBdr>
                                  <w:divsChild>
                                    <w:div w:id="1963150508">
                                      <w:marLeft w:val="0"/>
                                      <w:marRight w:val="0"/>
                                      <w:marTop w:val="120"/>
                                      <w:marBottom w:val="120"/>
                                      <w:divBdr>
                                        <w:top w:val="none" w:sz="0" w:space="0" w:color="auto"/>
                                        <w:left w:val="none" w:sz="0" w:space="0" w:color="auto"/>
                                        <w:bottom w:val="none" w:sz="0" w:space="0" w:color="auto"/>
                                        <w:right w:val="none" w:sz="0" w:space="0" w:color="auto"/>
                                      </w:divBdr>
                                      <w:divsChild>
                                        <w:div w:id="14971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54367">
      <w:bodyDiv w:val="1"/>
      <w:marLeft w:val="0"/>
      <w:marRight w:val="0"/>
      <w:marTop w:val="0"/>
      <w:marBottom w:val="0"/>
      <w:divBdr>
        <w:top w:val="none" w:sz="0" w:space="0" w:color="auto"/>
        <w:left w:val="none" w:sz="0" w:space="0" w:color="auto"/>
        <w:bottom w:val="none" w:sz="0" w:space="0" w:color="auto"/>
        <w:right w:val="none" w:sz="0" w:space="0" w:color="auto"/>
      </w:divBdr>
    </w:div>
    <w:div w:id="422066972">
      <w:bodyDiv w:val="1"/>
      <w:marLeft w:val="0"/>
      <w:marRight w:val="0"/>
      <w:marTop w:val="0"/>
      <w:marBottom w:val="0"/>
      <w:divBdr>
        <w:top w:val="none" w:sz="0" w:space="0" w:color="auto"/>
        <w:left w:val="none" w:sz="0" w:space="0" w:color="auto"/>
        <w:bottom w:val="none" w:sz="0" w:space="0" w:color="auto"/>
        <w:right w:val="none" w:sz="0" w:space="0" w:color="auto"/>
      </w:divBdr>
    </w:div>
    <w:div w:id="436874691">
      <w:bodyDiv w:val="1"/>
      <w:marLeft w:val="0"/>
      <w:marRight w:val="0"/>
      <w:marTop w:val="0"/>
      <w:marBottom w:val="0"/>
      <w:divBdr>
        <w:top w:val="none" w:sz="0" w:space="0" w:color="auto"/>
        <w:left w:val="none" w:sz="0" w:space="0" w:color="auto"/>
        <w:bottom w:val="none" w:sz="0" w:space="0" w:color="auto"/>
        <w:right w:val="none" w:sz="0" w:space="0" w:color="auto"/>
      </w:divBdr>
    </w:div>
    <w:div w:id="446392534">
      <w:bodyDiv w:val="1"/>
      <w:marLeft w:val="0"/>
      <w:marRight w:val="0"/>
      <w:marTop w:val="0"/>
      <w:marBottom w:val="0"/>
      <w:divBdr>
        <w:top w:val="none" w:sz="0" w:space="0" w:color="auto"/>
        <w:left w:val="none" w:sz="0" w:space="0" w:color="auto"/>
        <w:bottom w:val="none" w:sz="0" w:space="0" w:color="auto"/>
        <w:right w:val="none" w:sz="0" w:space="0" w:color="auto"/>
      </w:divBdr>
    </w:div>
    <w:div w:id="526718453">
      <w:bodyDiv w:val="1"/>
      <w:marLeft w:val="0"/>
      <w:marRight w:val="0"/>
      <w:marTop w:val="0"/>
      <w:marBottom w:val="0"/>
      <w:divBdr>
        <w:top w:val="none" w:sz="0" w:space="0" w:color="auto"/>
        <w:left w:val="none" w:sz="0" w:space="0" w:color="auto"/>
        <w:bottom w:val="none" w:sz="0" w:space="0" w:color="auto"/>
        <w:right w:val="none" w:sz="0" w:space="0" w:color="auto"/>
      </w:divBdr>
    </w:div>
    <w:div w:id="549152195">
      <w:bodyDiv w:val="1"/>
      <w:marLeft w:val="0"/>
      <w:marRight w:val="0"/>
      <w:marTop w:val="0"/>
      <w:marBottom w:val="0"/>
      <w:divBdr>
        <w:top w:val="none" w:sz="0" w:space="0" w:color="auto"/>
        <w:left w:val="none" w:sz="0" w:space="0" w:color="auto"/>
        <w:bottom w:val="none" w:sz="0" w:space="0" w:color="auto"/>
        <w:right w:val="none" w:sz="0" w:space="0" w:color="auto"/>
      </w:divBdr>
    </w:div>
    <w:div w:id="567500469">
      <w:bodyDiv w:val="1"/>
      <w:marLeft w:val="0"/>
      <w:marRight w:val="0"/>
      <w:marTop w:val="0"/>
      <w:marBottom w:val="0"/>
      <w:divBdr>
        <w:top w:val="none" w:sz="0" w:space="0" w:color="auto"/>
        <w:left w:val="none" w:sz="0" w:space="0" w:color="auto"/>
        <w:bottom w:val="none" w:sz="0" w:space="0" w:color="auto"/>
        <w:right w:val="none" w:sz="0" w:space="0" w:color="auto"/>
      </w:divBdr>
    </w:div>
    <w:div w:id="612907443">
      <w:bodyDiv w:val="1"/>
      <w:marLeft w:val="0"/>
      <w:marRight w:val="0"/>
      <w:marTop w:val="0"/>
      <w:marBottom w:val="0"/>
      <w:divBdr>
        <w:top w:val="none" w:sz="0" w:space="0" w:color="auto"/>
        <w:left w:val="none" w:sz="0" w:space="0" w:color="auto"/>
        <w:bottom w:val="none" w:sz="0" w:space="0" w:color="auto"/>
        <w:right w:val="none" w:sz="0" w:space="0" w:color="auto"/>
      </w:divBdr>
    </w:div>
    <w:div w:id="637691706">
      <w:bodyDiv w:val="1"/>
      <w:marLeft w:val="0"/>
      <w:marRight w:val="0"/>
      <w:marTop w:val="0"/>
      <w:marBottom w:val="0"/>
      <w:divBdr>
        <w:top w:val="none" w:sz="0" w:space="0" w:color="auto"/>
        <w:left w:val="none" w:sz="0" w:space="0" w:color="auto"/>
        <w:bottom w:val="none" w:sz="0" w:space="0" w:color="auto"/>
        <w:right w:val="none" w:sz="0" w:space="0" w:color="auto"/>
      </w:divBdr>
    </w:div>
    <w:div w:id="638918033">
      <w:bodyDiv w:val="1"/>
      <w:marLeft w:val="0"/>
      <w:marRight w:val="0"/>
      <w:marTop w:val="0"/>
      <w:marBottom w:val="0"/>
      <w:divBdr>
        <w:top w:val="none" w:sz="0" w:space="0" w:color="auto"/>
        <w:left w:val="none" w:sz="0" w:space="0" w:color="auto"/>
        <w:bottom w:val="none" w:sz="0" w:space="0" w:color="auto"/>
        <w:right w:val="none" w:sz="0" w:space="0" w:color="auto"/>
      </w:divBdr>
    </w:div>
    <w:div w:id="647250394">
      <w:bodyDiv w:val="1"/>
      <w:marLeft w:val="0"/>
      <w:marRight w:val="0"/>
      <w:marTop w:val="0"/>
      <w:marBottom w:val="0"/>
      <w:divBdr>
        <w:top w:val="none" w:sz="0" w:space="0" w:color="auto"/>
        <w:left w:val="none" w:sz="0" w:space="0" w:color="auto"/>
        <w:bottom w:val="none" w:sz="0" w:space="0" w:color="auto"/>
        <w:right w:val="none" w:sz="0" w:space="0" w:color="auto"/>
      </w:divBdr>
      <w:divsChild>
        <w:div w:id="55395073">
          <w:marLeft w:val="0"/>
          <w:marRight w:val="0"/>
          <w:marTop w:val="600"/>
          <w:marBottom w:val="0"/>
          <w:divBdr>
            <w:top w:val="single" w:sz="6" w:space="7" w:color="DADCDE"/>
            <w:left w:val="none" w:sz="0" w:space="4" w:color="auto"/>
            <w:bottom w:val="single" w:sz="6" w:space="7" w:color="DADCDE"/>
            <w:right w:val="none" w:sz="0" w:space="4" w:color="auto"/>
          </w:divBdr>
        </w:div>
      </w:divsChild>
    </w:div>
    <w:div w:id="733549212">
      <w:bodyDiv w:val="1"/>
      <w:marLeft w:val="0"/>
      <w:marRight w:val="0"/>
      <w:marTop w:val="0"/>
      <w:marBottom w:val="0"/>
      <w:divBdr>
        <w:top w:val="none" w:sz="0" w:space="0" w:color="auto"/>
        <w:left w:val="none" w:sz="0" w:space="0" w:color="auto"/>
        <w:bottom w:val="none" w:sz="0" w:space="0" w:color="auto"/>
        <w:right w:val="none" w:sz="0" w:space="0" w:color="auto"/>
      </w:divBdr>
    </w:div>
    <w:div w:id="780104427">
      <w:bodyDiv w:val="1"/>
      <w:marLeft w:val="0"/>
      <w:marRight w:val="0"/>
      <w:marTop w:val="0"/>
      <w:marBottom w:val="0"/>
      <w:divBdr>
        <w:top w:val="none" w:sz="0" w:space="0" w:color="auto"/>
        <w:left w:val="none" w:sz="0" w:space="0" w:color="auto"/>
        <w:bottom w:val="none" w:sz="0" w:space="0" w:color="auto"/>
        <w:right w:val="none" w:sz="0" w:space="0" w:color="auto"/>
      </w:divBdr>
    </w:div>
    <w:div w:id="791560809">
      <w:bodyDiv w:val="1"/>
      <w:marLeft w:val="0"/>
      <w:marRight w:val="0"/>
      <w:marTop w:val="0"/>
      <w:marBottom w:val="0"/>
      <w:divBdr>
        <w:top w:val="none" w:sz="0" w:space="0" w:color="auto"/>
        <w:left w:val="none" w:sz="0" w:space="0" w:color="auto"/>
        <w:bottom w:val="none" w:sz="0" w:space="0" w:color="auto"/>
        <w:right w:val="none" w:sz="0" w:space="0" w:color="auto"/>
      </w:divBdr>
    </w:div>
    <w:div w:id="806358703">
      <w:bodyDiv w:val="1"/>
      <w:marLeft w:val="0"/>
      <w:marRight w:val="0"/>
      <w:marTop w:val="0"/>
      <w:marBottom w:val="0"/>
      <w:divBdr>
        <w:top w:val="none" w:sz="0" w:space="0" w:color="auto"/>
        <w:left w:val="none" w:sz="0" w:space="0" w:color="auto"/>
        <w:bottom w:val="none" w:sz="0" w:space="0" w:color="auto"/>
        <w:right w:val="none" w:sz="0" w:space="0" w:color="auto"/>
      </w:divBdr>
    </w:div>
    <w:div w:id="856046406">
      <w:bodyDiv w:val="1"/>
      <w:marLeft w:val="0"/>
      <w:marRight w:val="0"/>
      <w:marTop w:val="0"/>
      <w:marBottom w:val="0"/>
      <w:divBdr>
        <w:top w:val="none" w:sz="0" w:space="0" w:color="auto"/>
        <w:left w:val="none" w:sz="0" w:space="0" w:color="auto"/>
        <w:bottom w:val="none" w:sz="0" w:space="0" w:color="auto"/>
        <w:right w:val="none" w:sz="0" w:space="0" w:color="auto"/>
      </w:divBdr>
    </w:div>
    <w:div w:id="861742886">
      <w:bodyDiv w:val="1"/>
      <w:marLeft w:val="0"/>
      <w:marRight w:val="0"/>
      <w:marTop w:val="0"/>
      <w:marBottom w:val="0"/>
      <w:divBdr>
        <w:top w:val="none" w:sz="0" w:space="0" w:color="auto"/>
        <w:left w:val="none" w:sz="0" w:space="0" w:color="auto"/>
        <w:bottom w:val="none" w:sz="0" w:space="0" w:color="auto"/>
        <w:right w:val="none" w:sz="0" w:space="0" w:color="auto"/>
      </w:divBdr>
      <w:divsChild>
        <w:div w:id="1015767622">
          <w:marLeft w:val="0"/>
          <w:marRight w:val="0"/>
          <w:marTop w:val="0"/>
          <w:marBottom w:val="0"/>
          <w:divBdr>
            <w:top w:val="none" w:sz="0" w:space="11" w:color="FFFFFF"/>
            <w:left w:val="single" w:sz="6" w:space="26" w:color="FFFFFF"/>
            <w:bottom w:val="none" w:sz="0" w:space="0" w:color="FFFFFF"/>
            <w:right w:val="none" w:sz="0" w:space="11" w:color="FFFFFF"/>
          </w:divBdr>
        </w:div>
      </w:divsChild>
    </w:div>
    <w:div w:id="951590450">
      <w:bodyDiv w:val="1"/>
      <w:marLeft w:val="0"/>
      <w:marRight w:val="0"/>
      <w:marTop w:val="0"/>
      <w:marBottom w:val="0"/>
      <w:divBdr>
        <w:top w:val="none" w:sz="0" w:space="0" w:color="auto"/>
        <w:left w:val="none" w:sz="0" w:space="0" w:color="auto"/>
        <w:bottom w:val="none" w:sz="0" w:space="0" w:color="auto"/>
        <w:right w:val="none" w:sz="0" w:space="0" w:color="auto"/>
      </w:divBdr>
    </w:div>
    <w:div w:id="974411367">
      <w:bodyDiv w:val="1"/>
      <w:marLeft w:val="0"/>
      <w:marRight w:val="0"/>
      <w:marTop w:val="0"/>
      <w:marBottom w:val="0"/>
      <w:divBdr>
        <w:top w:val="none" w:sz="0" w:space="0" w:color="auto"/>
        <w:left w:val="none" w:sz="0" w:space="0" w:color="auto"/>
        <w:bottom w:val="none" w:sz="0" w:space="0" w:color="auto"/>
        <w:right w:val="none" w:sz="0" w:space="0" w:color="auto"/>
      </w:divBdr>
    </w:div>
    <w:div w:id="1076705068">
      <w:bodyDiv w:val="1"/>
      <w:marLeft w:val="0"/>
      <w:marRight w:val="0"/>
      <w:marTop w:val="0"/>
      <w:marBottom w:val="0"/>
      <w:divBdr>
        <w:top w:val="none" w:sz="0" w:space="0" w:color="auto"/>
        <w:left w:val="none" w:sz="0" w:space="0" w:color="auto"/>
        <w:bottom w:val="none" w:sz="0" w:space="0" w:color="auto"/>
        <w:right w:val="none" w:sz="0" w:space="0" w:color="auto"/>
      </w:divBdr>
    </w:div>
    <w:div w:id="1107120213">
      <w:bodyDiv w:val="1"/>
      <w:marLeft w:val="0"/>
      <w:marRight w:val="0"/>
      <w:marTop w:val="0"/>
      <w:marBottom w:val="0"/>
      <w:divBdr>
        <w:top w:val="none" w:sz="0" w:space="0" w:color="auto"/>
        <w:left w:val="none" w:sz="0" w:space="0" w:color="auto"/>
        <w:bottom w:val="none" w:sz="0" w:space="0" w:color="auto"/>
        <w:right w:val="none" w:sz="0" w:space="0" w:color="auto"/>
      </w:divBdr>
    </w:div>
    <w:div w:id="1111704227">
      <w:bodyDiv w:val="1"/>
      <w:marLeft w:val="0"/>
      <w:marRight w:val="0"/>
      <w:marTop w:val="0"/>
      <w:marBottom w:val="0"/>
      <w:divBdr>
        <w:top w:val="none" w:sz="0" w:space="0" w:color="auto"/>
        <w:left w:val="none" w:sz="0" w:space="0" w:color="auto"/>
        <w:bottom w:val="none" w:sz="0" w:space="0" w:color="auto"/>
        <w:right w:val="none" w:sz="0" w:space="0" w:color="auto"/>
      </w:divBdr>
    </w:div>
    <w:div w:id="1169716173">
      <w:bodyDiv w:val="1"/>
      <w:marLeft w:val="0"/>
      <w:marRight w:val="0"/>
      <w:marTop w:val="0"/>
      <w:marBottom w:val="0"/>
      <w:divBdr>
        <w:top w:val="none" w:sz="0" w:space="0" w:color="auto"/>
        <w:left w:val="none" w:sz="0" w:space="0" w:color="auto"/>
        <w:bottom w:val="none" w:sz="0" w:space="0" w:color="auto"/>
        <w:right w:val="none" w:sz="0" w:space="0" w:color="auto"/>
      </w:divBdr>
      <w:divsChild>
        <w:div w:id="974673868">
          <w:marLeft w:val="0"/>
          <w:marRight w:val="0"/>
          <w:marTop w:val="0"/>
          <w:marBottom w:val="0"/>
          <w:divBdr>
            <w:top w:val="none" w:sz="0" w:space="0" w:color="auto"/>
            <w:left w:val="none" w:sz="0" w:space="0" w:color="auto"/>
            <w:bottom w:val="none" w:sz="0" w:space="0" w:color="auto"/>
            <w:right w:val="none" w:sz="0" w:space="0" w:color="auto"/>
          </w:divBdr>
        </w:div>
      </w:divsChild>
    </w:div>
    <w:div w:id="1197887454">
      <w:bodyDiv w:val="1"/>
      <w:marLeft w:val="0"/>
      <w:marRight w:val="0"/>
      <w:marTop w:val="0"/>
      <w:marBottom w:val="0"/>
      <w:divBdr>
        <w:top w:val="none" w:sz="0" w:space="0" w:color="auto"/>
        <w:left w:val="none" w:sz="0" w:space="0" w:color="auto"/>
        <w:bottom w:val="none" w:sz="0" w:space="0" w:color="auto"/>
        <w:right w:val="none" w:sz="0" w:space="0" w:color="auto"/>
      </w:divBdr>
      <w:divsChild>
        <w:div w:id="1603998560">
          <w:marLeft w:val="0"/>
          <w:marRight w:val="0"/>
          <w:marTop w:val="0"/>
          <w:marBottom w:val="0"/>
          <w:divBdr>
            <w:top w:val="none" w:sz="0" w:space="0" w:color="auto"/>
            <w:left w:val="none" w:sz="0" w:space="0" w:color="auto"/>
            <w:bottom w:val="none" w:sz="0" w:space="0" w:color="auto"/>
            <w:right w:val="none" w:sz="0" w:space="0" w:color="auto"/>
          </w:divBdr>
        </w:div>
      </w:divsChild>
    </w:div>
    <w:div w:id="1249076011">
      <w:bodyDiv w:val="1"/>
      <w:marLeft w:val="0"/>
      <w:marRight w:val="0"/>
      <w:marTop w:val="0"/>
      <w:marBottom w:val="0"/>
      <w:divBdr>
        <w:top w:val="none" w:sz="0" w:space="0" w:color="auto"/>
        <w:left w:val="none" w:sz="0" w:space="0" w:color="auto"/>
        <w:bottom w:val="none" w:sz="0" w:space="0" w:color="auto"/>
        <w:right w:val="none" w:sz="0" w:space="0" w:color="auto"/>
      </w:divBdr>
    </w:div>
    <w:div w:id="1269579475">
      <w:bodyDiv w:val="1"/>
      <w:marLeft w:val="0"/>
      <w:marRight w:val="0"/>
      <w:marTop w:val="0"/>
      <w:marBottom w:val="0"/>
      <w:divBdr>
        <w:top w:val="none" w:sz="0" w:space="0" w:color="auto"/>
        <w:left w:val="none" w:sz="0" w:space="0" w:color="auto"/>
        <w:bottom w:val="none" w:sz="0" w:space="0" w:color="auto"/>
        <w:right w:val="none" w:sz="0" w:space="0" w:color="auto"/>
      </w:divBdr>
    </w:div>
    <w:div w:id="1288396337">
      <w:bodyDiv w:val="1"/>
      <w:marLeft w:val="0"/>
      <w:marRight w:val="0"/>
      <w:marTop w:val="0"/>
      <w:marBottom w:val="0"/>
      <w:divBdr>
        <w:top w:val="none" w:sz="0" w:space="0" w:color="auto"/>
        <w:left w:val="none" w:sz="0" w:space="0" w:color="auto"/>
        <w:bottom w:val="none" w:sz="0" w:space="0" w:color="auto"/>
        <w:right w:val="none" w:sz="0" w:space="0" w:color="auto"/>
      </w:divBdr>
    </w:div>
    <w:div w:id="1332218389">
      <w:bodyDiv w:val="1"/>
      <w:marLeft w:val="0"/>
      <w:marRight w:val="0"/>
      <w:marTop w:val="0"/>
      <w:marBottom w:val="0"/>
      <w:divBdr>
        <w:top w:val="none" w:sz="0" w:space="0" w:color="auto"/>
        <w:left w:val="none" w:sz="0" w:space="0" w:color="auto"/>
        <w:bottom w:val="none" w:sz="0" w:space="0" w:color="auto"/>
        <w:right w:val="none" w:sz="0" w:space="0" w:color="auto"/>
      </w:divBdr>
    </w:div>
    <w:div w:id="1389303522">
      <w:bodyDiv w:val="1"/>
      <w:marLeft w:val="0"/>
      <w:marRight w:val="0"/>
      <w:marTop w:val="0"/>
      <w:marBottom w:val="0"/>
      <w:divBdr>
        <w:top w:val="none" w:sz="0" w:space="0" w:color="auto"/>
        <w:left w:val="none" w:sz="0" w:space="0" w:color="auto"/>
        <w:bottom w:val="none" w:sz="0" w:space="0" w:color="auto"/>
        <w:right w:val="none" w:sz="0" w:space="0" w:color="auto"/>
      </w:divBdr>
    </w:div>
    <w:div w:id="1445222724">
      <w:bodyDiv w:val="1"/>
      <w:marLeft w:val="0"/>
      <w:marRight w:val="0"/>
      <w:marTop w:val="0"/>
      <w:marBottom w:val="0"/>
      <w:divBdr>
        <w:top w:val="none" w:sz="0" w:space="0" w:color="auto"/>
        <w:left w:val="none" w:sz="0" w:space="0" w:color="auto"/>
        <w:bottom w:val="none" w:sz="0" w:space="0" w:color="auto"/>
        <w:right w:val="none" w:sz="0" w:space="0" w:color="auto"/>
      </w:divBdr>
    </w:div>
    <w:div w:id="1492864976">
      <w:bodyDiv w:val="1"/>
      <w:marLeft w:val="0"/>
      <w:marRight w:val="0"/>
      <w:marTop w:val="0"/>
      <w:marBottom w:val="0"/>
      <w:divBdr>
        <w:top w:val="none" w:sz="0" w:space="0" w:color="auto"/>
        <w:left w:val="none" w:sz="0" w:space="0" w:color="auto"/>
        <w:bottom w:val="none" w:sz="0" w:space="0" w:color="auto"/>
        <w:right w:val="none" w:sz="0" w:space="0" w:color="auto"/>
      </w:divBdr>
      <w:divsChild>
        <w:div w:id="1294143545">
          <w:marLeft w:val="0"/>
          <w:marRight w:val="0"/>
          <w:marTop w:val="0"/>
          <w:marBottom w:val="150"/>
          <w:divBdr>
            <w:top w:val="none" w:sz="0" w:space="0" w:color="auto"/>
            <w:left w:val="none" w:sz="0" w:space="0" w:color="auto"/>
            <w:bottom w:val="single" w:sz="6" w:space="0" w:color="C1C1C1"/>
            <w:right w:val="none" w:sz="0" w:space="0" w:color="auto"/>
          </w:divBdr>
          <w:divsChild>
            <w:div w:id="1463185084">
              <w:marLeft w:val="0"/>
              <w:marRight w:val="0"/>
              <w:marTop w:val="0"/>
              <w:marBottom w:val="0"/>
              <w:divBdr>
                <w:top w:val="none" w:sz="0" w:space="0" w:color="auto"/>
                <w:left w:val="none" w:sz="0" w:space="0" w:color="auto"/>
                <w:bottom w:val="none" w:sz="0" w:space="0" w:color="auto"/>
                <w:right w:val="none" w:sz="0" w:space="0" w:color="auto"/>
              </w:divBdr>
              <w:divsChild>
                <w:div w:id="547725">
                  <w:marLeft w:val="0"/>
                  <w:marRight w:val="0"/>
                  <w:marTop w:val="0"/>
                  <w:marBottom w:val="0"/>
                  <w:divBdr>
                    <w:top w:val="none" w:sz="0" w:space="0" w:color="auto"/>
                    <w:left w:val="none" w:sz="0" w:space="0" w:color="auto"/>
                    <w:bottom w:val="none" w:sz="0" w:space="0" w:color="auto"/>
                    <w:right w:val="none" w:sz="0" w:space="0" w:color="auto"/>
                  </w:divBdr>
                  <w:divsChild>
                    <w:div w:id="546373662">
                      <w:marLeft w:val="0"/>
                      <w:marRight w:val="0"/>
                      <w:marTop w:val="0"/>
                      <w:marBottom w:val="0"/>
                      <w:divBdr>
                        <w:top w:val="none" w:sz="0" w:space="0" w:color="auto"/>
                        <w:left w:val="none" w:sz="0" w:space="0" w:color="auto"/>
                        <w:bottom w:val="none" w:sz="0" w:space="0" w:color="auto"/>
                        <w:right w:val="none" w:sz="0" w:space="0" w:color="auto"/>
                      </w:divBdr>
                    </w:div>
                    <w:div w:id="3822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1150">
      <w:bodyDiv w:val="1"/>
      <w:marLeft w:val="0"/>
      <w:marRight w:val="0"/>
      <w:marTop w:val="0"/>
      <w:marBottom w:val="0"/>
      <w:divBdr>
        <w:top w:val="none" w:sz="0" w:space="0" w:color="auto"/>
        <w:left w:val="none" w:sz="0" w:space="0" w:color="auto"/>
        <w:bottom w:val="none" w:sz="0" w:space="0" w:color="auto"/>
        <w:right w:val="none" w:sz="0" w:space="0" w:color="auto"/>
      </w:divBdr>
    </w:div>
    <w:div w:id="1519462362">
      <w:bodyDiv w:val="1"/>
      <w:marLeft w:val="0"/>
      <w:marRight w:val="0"/>
      <w:marTop w:val="0"/>
      <w:marBottom w:val="0"/>
      <w:divBdr>
        <w:top w:val="none" w:sz="0" w:space="0" w:color="auto"/>
        <w:left w:val="none" w:sz="0" w:space="0" w:color="auto"/>
        <w:bottom w:val="none" w:sz="0" w:space="0" w:color="auto"/>
        <w:right w:val="none" w:sz="0" w:space="0" w:color="auto"/>
      </w:divBdr>
    </w:div>
    <w:div w:id="1548447712">
      <w:bodyDiv w:val="1"/>
      <w:marLeft w:val="0"/>
      <w:marRight w:val="0"/>
      <w:marTop w:val="0"/>
      <w:marBottom w:val="0"/>
      <w:divBdr>
        <w:top w:val="none" w:sz="0" w:space="0" w:color="auto"/>
        <w:left w:val="none" w:sz="0" w:space="0" w:color="auto"/>
        <w:bottom w:val="none" w:sz="0" w:space="0" w:color="auto"/>
        <w:right w:val="none" w:sz="0" w:space="0" w:color="auto"/>
      </w:divBdr>
    </w:div>
    <w:div w:id="1568497701">
      <w:bodyDiv w:val="1"/>
      <w:marLeft w:val="0"/>
      <w:marRight w:val="0"/>
      <w:marTop w:val="0"/>
      <w:marBottom w:val="0"/>
      <w:divBdr>
        <w:top w:val="none" w:sz="0" w:space="0" w:color="auto"/>
        <w:left w:val="none" w:sz="0" w:space="0" w:color="auto"/>
        <w:bottom w:val="none" w:sz="0" w:space="0" w:color="auto"/>
        <w:right w:val="none" w:sz="0" w:space="0" w:color="auto"/>
      </w:divBdr>
    </w:div>
    <w:div w:id="1570968137">
      <w:bodyDiv w:val="1"/>
      <w:marLeft w:val="0"/>
      <w:marRight w:val="0"/>
      <w:marTop w:val="0"/>
      <w:marBottom w:val="0"/>
      <w:divBdr>
        <w:top w:val="none" w:sz="0" w:space="0" w:color="auto"/>
        <w:left w:val="none" w:sz="0" w:space="0" w:color="auto"/>
        <w:bottom w:val="none" w:sz="0" w:space="0" w:color="auto"/>
        <w:right w:val="none" w:sz="0" w:space="0" w:color="auto"/>
      </w:divBdr>
    </w:div>
    <w:div w:id="1582369056">
      <w:bodyDiv w:val="1"/>
      <w:marLeft w:val="0"/>
      <w:marRight w:val="0"/>
      <w:marTop w:val="0"/>
      <w:marBottom w:val="0"/>
      <w:divBdr>
        <w:top w:val="none" w:sz="0" w:space="0" w:color="auto"/>
        <w:left w:val="none" w:sz="0" w:space="0" w:color="auto"/>
        <w:bottom w:val="none" w:sz="0" w:space="0" w:color="auto"/>
        <w:right w:val="none" w:sz="0" w:space="0" w:color="auto"/>
      </w:divBdr>
    </w:div>
    <w:div w:id="1666936706">
      <w:bodyDiv w:val="1"/>
      <w:marLeft w:val="0"/>
      <w:marRight w:val="0"/>
      <w:marTop w:val="0"/>
      <w:marBottom w:val="0"/>
      <w:divBdr>
        <w:top w:val="none" w:sz="0" w:space="0" w:color="auto"/>
        <w:left w:val="none" w:sz="0" w:space="0" w:color="auto"/>
        <w:bottom w:val="none" w:sz="0" w:space="0" w:color="auto"/>
        <w:right w:val="none" w:sz="0" w:space="0" w:color="auto"/>
      </w:divBdr>
    </w:div>
    <w:div w:id="1723016733">
      <w:bodyDiv w:val="1"/>
      <w:marLeft w:val="0"/>
      <w:marRight w:val="0"/>
      <w:marTop w:val="0"/>
      <w:marBottom w:val="0"/>
      <w:divBdr>
        <w:top w:val="none" w:sz="0" w:space="0" w:color="auto"/>
        <w:left w:val="none" w:sz="0" w:space="0" w:color="auto"/>
        <w:bottom w:val="none" w:sz="0" w:space="0" w:color="auto"/>
        <w:right w:val="none" w:sz="0" w:space="0" w:color="auto"/>
      </w:divBdr>
    </w:div>
    <w:div w:id="1805191998">
      <w:bodyDiv w:val="1"/>
      <w:marLeft w:val="0"/>
      <w:marRight w:val="0"/>
      <w:marTop w:val="0"/>
      <w:marBottom w:val="0"/>
      <w:divBdr>
        <w:top w:val="none" w:sz="0" w:space="0" w:color="auto"/>
        <w:left w:val="none" w:sz="0" w:space="0" w:color="auto"/>
        <w:bottom w:val="none" w:sz="0" w:space="0" w:color="auto"/>
        <w:right w:val="none" w:sz="0" w:space="0" w:color="auto"/>
      </w:divBdr>
      <w:divsChild>
        <w:div w:id="941571322">
          <w:marLeft w:val="0"/>
          <w:marRight w:val="0"/>
          <w:marTop w:val="0"/>
          <w:marBottom w:val="0"/>
          <w:divBdr>
            <w:top w:val="none" w:sz="0" w:space="0" w:color="auto"/>
            <w:left w:val="none" w:sz="0" w:space="0" w:color="auto"/>
            <w:bottom w:val="none" w:sz="0" w:space="0" w:color="auto"/>
            <w:right w:val="none" w:sz="0" w:space="0" w:color="auto"/>
          </w:divBdr>
        </w:div>
      </w:divsChild>
    </w:div>
    <w:div w:id="1849707636">
      <w:bodyDiv w:val="1"/>
      <w:marLeft w:val="0"/>
      <w:marRight w:val="0"/>
      <w:marTop w:val="0"/>
      <w:marBottom w:val="0"/>
      <w:divBdr>
        <w:top w:val="none" w:sz="0" w:space="0" w:color="auto"/>
        <w:left w:val="none" w:sz="0" w:space="0" w:color="auto"/>
        <w:bottom w:val="none" w:sz="0" w:space="0" w:color="auto"/>
        <w:right w:val="none" w:sz="0" w:space="0" w:color="auto"/>
      </w:divBdr>
    </w:div>
    <w:div w:id="1942570463">
      <w:bodyDiv w:val="1"/>
      <w:marLeft w:val="0"/>
      <w:marRight w:val="0"/>
      <w:marTop w:val="0"/>
      <w:marBottom w:val="0"/>
      <w:divBdr>
        <w:top w:val="none" w:sz="0" w:space="0" w:color="auto"/>
        <w:left w:val="none" w:sz="0" w:space="0" w:color="auto"/>
        <w:bottom w:val="none" w:sz="0" w:space="0" w:color="auto"/>
        <w:right w:val="none" w:sz="0" w:space="0" w:color="auto"/>
      </w:divBdr>
    </w:div>
    <w:div w:id="2018968703">
      <w:bodyDiv w:val="1"/>
      <w:marLeft w:val="0"/>
      <w:marRight w:val="0"/>
      <w:marTop w:val="0"/>
      <w:marBottom w:val="0"/>
      <w:divBdr>
        <w:top w:val="none" w:sz="0" w:space="0" w:color="auto"/>
        <w:left w:val="none" w:sz="0" w:space="0" w:color="auto"/>
        <w:bottom w:val="none" w:sz="0" w:space="0" w:color="auto"/>
        <w:right w:val="none" w:sz="0" w:space="0" w:color="auto"/>
      </w:divBdr>
    </w:div>
    <w:div w:id="2039425796">
      <w:bodyDiv w:val="1"/>
      <w:marLeft w:val="0"/>
      <w:marRight w:val="0"/>
      <w:marTop w:val="0"/>
      <w:marBottom w:val="0"/>
      <w:divBdr>
        <w:top w:val="none" w:sz="0" w:space="0" w:color="auto"/>
        <w:left w:val="none" w:sz="0" w:space="0" w:color="auto"/>
        <w:bottom w:val="none" w:sz="0" w:space="0" w:color="auto"/>
        <w:right w:val="none" w:sz="0" w:space="0" w:color="auto"/>
      </w:divBdr>
      <w:divsChild>
        <w:div w:id="2118065691">
          <w:marLeft w:val="0"/>
          <w:marRight w:val="0"/>
          <w:marTop w:val="0"/>
          <w:marBottom w:val="0"/>
          <w:divBdr>
            <w:top w:val="none" w:sz="0" w:space="11" w:color="FFFFFF"/>
            <w:left w:val="single" w:sz="6" w:space="26" w:color="FFFFFF"/>
            <w:bottom w:val="none" w:sz="0" w:space="0" w:color="FFFFFF"/>
            <w:right w:val="none" w:sz="0" w:space="11" w:color="FFFFFF"/>
          </w:divBdr>
        </w:div>
      </w:divsChild>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eindia.com/bseplus/StockReach/StockQuote/Equity/MAHANAGAR%20TELEPHONE%20NIGAM%20LTD/MTNL/500108/Scrips" TargetMode="External"/><Relationship Id="rId18" Type="http://schemas.openxmlformats.org/officeDocument/2006/relationships/hyperlink" Target="http://economictimes.indiatimes.com/coal-india-ltd/stocks/companyid-11822.cm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seindia.com/stockinfo/stockprc2.aspx?scripcode=500108&amp;flag=sp&amp;Submit=G" TargetMode="External"/><Relationship Id="rId17" Type="http://schemas.openxmlformats.org/officeDocument/2006/relationships/hyperlink" Target="http://www.nseindia.com/" TargetMode="External"/><Relationship Id="rId2" Type="http://schemas.openxmlformats.org/officeDocument/2006/relationships/customXml" Target="../customXml/item2.xml"/><Relationship Id="rId16" Type="http://schemas.openxmlformats.org/officeDocument/2006/relationships/hyperlink" Target="http://www.livemint.com/2012/05/24002500/Parliament-over-action-begins.html?h=A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gcindia.com/invest_div_paid.asp" TargetMode="External"/><Relationship Id="rId5" Type="http://schemas.openxmlformats.org/officeDocument/2006/relationships/settings" Target="settings.xml"/><Relationship Id="rId15" Type="http://schemas.openxmlformats.org/officeDocument/2006/relationships/hyperlink" Target="http://www.business-standard.com/india/news/petrol-pricers-7-plus-in-sharpest-rise-ever/475229/" TargetMode="External"/><Relationship Id="rId10" Type="http://schemas.openxmlformats.org/officeDocument/2006/relationships/hyperlink" Target="http://www.divest.nic.in/SummarySale.as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pib.nic.in/newsite/erelease.aspx?relid=8357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ivest.nic.in/Dis_Current.asp" TargetMode="External"/><Relationship Id="rId13" Type="http://schemas.openxmlformats.org/officeDocument/2006/relationships/hyperlink" Target="http://rru.worldbank.org/Documents/Other/CorpGovSOEs.pdf" TargetMode="External"/><Relationship Id="rId18" Type="http://schemas.openxmlformats.org/officeDocument/2006/relationships/hyperlink" Target="http://elibrary.worldbank.org/docserver/download/4542.pdf?expires=1340417360&amp;id=id&amp;accname=guest&amp;checksum=6D00C7849E0ABA9FF2853740A48F4300" TargetMode="External"/><Relationship Id="rId26" Type="http://schemas.openxmlformats.org/officeDocument/2006/relationships/hyperlink" Target="http://www.divest.nic.in/Nat_inves_fund.asp" TargetMode="External"/><Relationship Id="rId39" Type="http://schemas.openxmlformats.org/officeDocument/2006/relationships/hyperlink" Target="http://www.thehindubusinessline.in/iw/2002/11/17/stories/2002111700040800.htm" TargetMode="External"/><Relationship Id="rId3" Type="http://schemas.openxmlformats.org/officeDocument/2006/relationships/hyperlink" Target="http://papers.ssrn.com/sol3/papers.cfm?abstract_id=1616266" TargetMode="External"/><Relationship Id="rId21" Type="http://schemas.openxmlformats.org/officeDocument/2006/relationships/hyperlink" Target="http://dpe.nic.in/publications/report_of_ad_hoc_group_of_experts_on_empowerment_of_cpses" TargetMode="External"/><Relationship Id="rId34" Type="http://schemas.openxmlformats.org/officeDocument/2006/relationships/hyperlink" Target="http://www.ongcindia.com/invest_div_pol.asp" TargetMode="External"/><Relationship Id="rId42" Type="http://schemas.openxmlformats.org/officeDocument/2006/relationships/hyperlink" Target="http://www.rediff.com/money/2009/mar/05goldman-sachs-raises-corporate-governance-issues-with-ongc.htm" TargetMode="External"/><Relationship Id="rId47" Type="http://schemas.openxmlformats.org/officeDocument/2006/relationships/hyperlink" Target="http://papers.ssrn.com/sol3/papers.cfm?abstract_id=1529010" TargetMode="External"/><Relationship Id="rId7" Type="http://schemas.openxmlformats.org/officeDocument/2006/relationships/hyperlink" Target="http://mpra.ub.uni-muenchen.de/17946/" TargetMode="External"/><Relationship Id="rId12" Type="http://schemas.openxmlformats.org/officeDocument/2006/relationships/hyperlink" Target="http://www.oecd.org/dataoecd/32/18/31557724.pdf" TargetMode="External"/><Relationship Id="rId17" Type="http://schemas.openxmlformats.org/officeDocument/2006/relationships/hyperlink" Target="http://www.cesifo-group.de/portal/pls/portal/docs/1/1193170.PDF" TargetMode="External"/><Relationship Id="rId25" Type="http://schemas.openxmlformats.org/officeDocument/2006/relationships/hyperlink" Target="http://indiabudget.nic.in/ub2009-10/bs/speecha.htm" TargetMode="External"/><Relationship Id="rId33" Type="http://schemas.openxmlformats.org/officeDocument/2006/relationships/hyperlink" Target="http://www.business-standard.com/india/news/cash-rich-psus-shower-dividendsgovt/469010/" TargetMode="External"/><Relationship Id="rId38" Type="http://schemas.openxmlformats.org/officeDocument/2006/relationships/hyperlink" Target="http://coal4india.com/Coal4India/Letter16052012.aspx" TargetMode="External"/><Relationship Id="rId46" Type="http://schemas.openxmlformats.org/officeDocument/2006/relationships/hyperlink" Target="http://www.ft.com/intl/cms/s/0/7e70ca02-6d12-11e1-ab1a-00144feab49a.html" TargetMode="External"/><Relationship Id="rId2" Type="http://schemas.openxmlformats.org/officeDocument/2006/relationships/hyperlink" Target="http://www.iimahd.ernet.in/~jrvarma/papers/iimbr9-4.pdf" TargetMode="External"/><Relationship Id="rId16" Type="http://schemas.openxmlformats.org/officeDocument/2006/relationships/hyperlink" Target="http://www.erim.eur.nl/portal/page/portal/ERIM/Content_Area/Documents/paper%20Andrea%20Colli.pdf" TargetMode="External"/><Relationship Id="rId20" Type="http://schemas.openxmlformats.org/officeDocument/2006/relationships/hyperlink" Target="http://dpe.nic.in/sites/upload_files/dpe/files/gcgcpse10.pdf" TargetMode="External"/><Relationship Id="rId29" Type="http://schemas.openxmlformats.org/officeDocument/2006/relationships/hyperlink" Target="http://www.bus.indiana.edu/nagupta/gupta_nov2010.pdf" TargetMode="External"/><Relationship Id="rId41" Type="http://schemas.openxmlformats.org/officeDocument/2006/relationships/hyperlink" Target="http://www.firstpost.com/business/when-will-pranab-stop-the-loot-of-oil-companies-317188.html;May" TargetMode="External"/><Relationship Id="rId1" Type="http://schemas.openxmlformats.org/officeDocument/2006/relationships/hyperlink" Target="http://papers.ssrn.com/sol3/papers.cfm?abstract_id=1374331" TargetMode="External"/><Relationship Id="rId6" Type="http://schemas.openxmlformats.org/officeDocument/2006/relationships/hyperlink" Target="http://dpe.nic.in/sites/upload_files/dpe/files/survey1011/survey01/Overview.pdf" TargetMode="External"/><Relationship Id="rId11" Type="http://schemas.openxmlformats.org/officeDocument/2006/relationships/hyperlink" Target="http://www.kelley.iu.edu/nagupta/privsouthasiaport.pdf" TargetMode="External"/><Relationship Id="rId24" Type="http://schemas.openxmlformats.org/officeDocument/2006/relationships/hyperlink" Target="http://www.livemint.com/2011/09/12224756/60-CXO-250-independent-direct.html?atype=tp" TargetMode="External"/><Relationship Id="rId32" Type="http://schemas.openxmlformats.org/officeDocument/2006/relationships/hyperlink" Target="http://coal4india.com/Coal4India/(S(ciyyxscp53aq0dd40r3wramy))/c4i10.pdf" TargetMode="External"/><Relationship Id="rId37" Type="http://schemas.openxmlformats.org/officeDocument/2006/relationships/hyperlink" Target="http://www.livemint.com/2012/04/17002802/CIL-board-cuts-penalty-on-fuel.html" TargetMode="External"/><Relationship Id="rId40" Type="http://schemas.openxmlformats.org/officeDocument/2006/relationships/hyperlink" Target="http://www.hindustanpetroleum.com/En/UI/PressnMedia.aspx?Id=164" TargetMode="External"/><Relationship Id="rId45" Type="http://schemas.openxmlformats.org/officeDocument/2006/relationships/hyperlink" Target="http://articles.economictimes.indiatimes.com/2011-10-19/news/30297602_1_coal-shortage-coal-output-coal-india" TargetMode="External"/><Relationship Id="rId5" Type="http://schemas.openxmlformats.org/officeDocument/2006/relationships/hyperlink" Target="http://www.divest.nic.in/chap3.asp" TargetMode="External"/><Relationship Id="rId15" Type="http://schemas.openxmlformats.org/officeDocument/2006/relationships/hyperlink" Target="http://www.firstpost.com/business/54-coal-blocks-to-be-auctioned-in-1-2-months-minister-261045.html" TargetMode="External"/><Relationship Id="rId23" Type="http://schemas.openxmlformats.org/officeDocument/2006/relationships/hyperlink" Target="http://articles.economictimes.indiatimes.com/2012-05-10/news/31655558_1_independent-directors-cag-report-cpses" TargetMode="External"/><Relationship Id="rId28" Type="http://schemas.openxmlformats.org/officeDocument/2006/relationships/hyperlink" Target="http://www.suchetadalal.com/?id=def31eae-ef70-4e27-4f840b0b12f9&amp;base=sections&amp;f" TargetMode="External"/><Relationship Id="rId36" Type="http://schemas.openxmlformats.org/officeDocument/2006/relationships/hyperlink" Target="http://coal4india.com/Coal4India/c4i5.pdf" TargetMode="External"/><Relationship Id="rId10" Type="http://schemas.openxmlformats.org/officeDocument/2006/relationships/hyperlink" Target="http://www.bus.indiana.edu/nagupta/gupta_nov2010.pdf" TargetMode="External"/><Relationship Id="rId19" Type="http://schemas.openxmlformats.org/officeDocument/2006/relationships/hyperlink" Target="http://www.temasek.com.sg/" TargetMode="External"/><Relationship Id="rId31" Type="http://schemas.openxmlformats.org/officeDocument/2006/relationships/hyperlink" Target="http://www.sebi.gov.in/dp/coaldrhp.pdf" TargetMode="External"/><Relationship Id="rId44" Type="http://schemas.openxmlformats.org/officeDocument/2006/relationships/hyperlink" Target="http://www.firstpost.com/business/why-only-cil-here-are-9-other-psu-boards-investors-can-sue-241950.html" TargetMode="External"/><Relationship Id="rId4" Type="http://schemas.openxmlformats.org/officeDocument/2006/relationships/hyperlink" Target="http://www.coal4india.com" TargetMode="External"/><Relationship Id="rId9" Type="http://schemas.openxmlformats.org/officeDocument/2006/relationships/hyperlink" Target="http://articles.timesofindia.indiatimes.com/2009-06-09/india/28155814_1_disinvestment-policy-psus-dmk" TargetMode="External"/><Relationship Id="rId14" Type="http://schemas.openxmlformats.org/officeDocument/2006/relationships/hyperlink" Target="http://www.oecd.org/dataoecd/46/51/34803211.pdf" TargetMode="External"/><Relationship Id="rId22" Type="http://schemas.openxmlformats.org/officeDocument/2006/relationships/hyperlink" Target="http://www.hindustanpetroleum.com/Upload/En/ChairmansSpeech/files/SOE%20Corporate%20Governance%20June08.pdf" TargetMode="External"/><Relationship Id="rId27" Type="http://schemas.openxmlformats.org/officeDocument/2006/relationships/hyperlink" Target="http://www.suchetadalal.com" TargetMode="External"/><Relationship Id="rId30" Type="http://schemas.openxmlformats.org/officeDocument/2006/relationships/hyperlink" Target="http://thebenchmark.in/wp-content/uploads/2012/03/Espirito_Governance.pdf" TargetMode="External"/><Relationship Id="rId35" Type="http://schemas.openxmlformats.org/officeDocument/2006/relationships/hyperlink" Target="http://www.ongcindia.com/download/Annualreports/ONGC_Annual_Report_10-11.pdf" TargetMode="External"/><Relationship Id="rId43" Type="http://schemas.openxmlformats.org/officeDocument/2006/relationships/hyperlink" Target="http://www.ongcindia.com/press_release1.asp?fold=press&amp;file=press385.tx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F8759E3D154B9FA337B5EBE157F409"/>
        <w:category>
          <w:name w:val="General"/>
          <w:gallery w:val="placeholder"/>
        </w:category>
        <w:types>
          <w:type w:val="bbPlcHdr"/>
        </w:types>
        <w:behaviors>
          <w:behavior w:val="content"/>
        </w:behaviors>
        <w:guid w:val="{AC666813-28F0-4B04-BE30-000A9C4BD36B}"/>
      </w:docPartPr>
      <w:docPartBody>
        <w:p w:rsidR="00000000" w:rsidRDefault="00BE5FF3" w:rsidP="00BE5FF3">
          <w:pPr>
            <w:pStyle w:val="F5F8759E3D154B9FA337B5EBE157F409"/>
          </w:pPr>
          <w:r>
            <w:rPr>
              <w:color w:val="FFFFFF" w:themeColor="background1"/>
              <w:sz w:val="80"/>
              <w:szCs w:val="80"/>
            </w:rPr>
            <w:t>[Type the document title]</w:t>
          </w:r>
        </w:p>
      </w:docPartBody>
    </w:docPart>
    <w:docPart>
      <w:docPartPr>
        <w:name w:val="1C91AA1598DE4EE4BBB8EC18543B9865"/>
        <w:category>
          <w:name w:val="General"/>
          <w:gallery w:val="placeholder"/>
        </w:category>
        <w:types>
          <w:type w:val="bbPlcHdr"/>
        </w:types>
        <w:behaviors>
          <w:behavior w:val="content"/>
        </w:behaviors>
        <w:guid w:val="{DA6DF64C-BBD4-4F31-9BC3-5ABF761A815E}"/>
      </w:docPartPr>
      <w:docPartBody>
        <w:p w:rsidR="00000000" w:rsidRDefault="00BE5FF3" w:rsidP="00BE5FF3">
          <w:pPr>
            <w:pStyle w:val="1C91AA1598DE4EE4BBB8EC18543B9865"/>
          </w:pPr>
          <w:r>
            <w:rPr>
              <w:color w:val="FFFFFF" w:themeColor="background1"/>
              <w:sz w:val="48"/>
              <w:szCs w:val="48"/>
            </w:rPr>
            <w:t>[Year]</w:t>
          </w:r>
        </w:p>
      </w:docPartBody>
    </w:docPart>
    <w:docPart>
      <w:docPartPr>
        <w:name w:val="64AA81C6AD674179BF020B717F8BCDB6"/>
        <w:category>
          <w:name w:val="General"/>
          <w:gallery w:val="placeholder"/>
        </w:category>
        <w:types>
          <w:type w:val="bbPlcHdr"/>
        </w:types>
        <w:behaviors>
          <w:behavior w:val="content"/>
        </w:behaviors>
        <w:guid w:val="{A75A799E-4984-430E-993F-C44690F50C06}"/>
      </w:docPartPr>
      <w:docPartBody>
        <w:p w:rsidR="00000000" w:rsidRDefault="00BE5FF3" w:rsidP="00BE5FF3">
          <w:pPr>
            <w:pStyle w:val="64AA81C6AD674179BF020B717F8BCDB6"/>
          </w:pPr>
          <w:r>
            <w:rPr>
              <w:color w:val="FFFFFF" w:themeColor="background1"/>
            </w:rPr>
            <w:t>[Type the author name]</w:t>
          </w:r>
        </w:p>
      </w:docPartBody>
    </w:docPart>
    <w:docPart>
      <w:docPartPr>
        <w:name w:val="9F524788BCA441D09FE8595E4690AF01"/>
        <w:category>
          <w:name w:val="General"/>
          <w:gallery w:val="placeholder"/>
        </w:category>
        <w:types>
          <w:type w:val="bbPlcHdr"/>
        </w:types>
        <w:behaviors>
          <w:behavior w:val="content"/>
        </w:behaviors>
        <w:guid w:val="{36C2832F-0BAC-47B2-960F-365FB4C52CFD}"/>
      </w:docPartPr>
      <w:docPartBody>
        <w:p w:rsidR="00000000" w:rsidRDefault="00BE5FF3" w:rsidP="00BE5FF3">
          <w:pPr>
            <w:pStyle w:val="9F524788BCA441D09FE8595E4690AF01"/>
          </w:pPr>
          <w:r>
            <w:rPr>
              <w:color w:val="FFFFFF" w:themeColor="background1"/>
            </w:rPr>
            <w:t>[Type the company name]</w:t>
          </w:r>
        </w:p>
      </w:docPartBody>
    </w:docPart>
    <w:docPart>
      <w:docPartPr>
        <w:name w:val="58ABF99516C548049F6FB2F9F4CBC46D"/>
        <w:category>
          <w:name w:val="General"/>
          <w:gallery w:val="placeholder"/>
        </w:category>
        <w:types>
          <w:type w:val="bbPlcHdr"/>
        </w:types>
        <w:behaviors>
          <w:behavior w:val="content"/>
        </w:behaviors>
        <w:guid w:val="{A1BA6A1A-4E4A-4813-B1DA-E5A64D06D71E}"/>
      </w:docPartPr>
      <w:docPartBody>
        <w:p w:rsidR="00000000" w:rsidRDefault="00BE5FF3" w:rsidP="00BE5FF3">
          <w:pPr>
            <w:pStyle w:val="58ABF99516C548049F6FB2F9F4CBC46D"/>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eX-Helvetica-Light">
    <w:panose1 w:val="00000000000000000000"/>
    <w:charset w:val="00"/>
    <w:family w:val="auto"/>
    <w:notTrueType/>
    <w:pitch w:val="default"/>
    <w:sig w:usb0="00000003" w:usb1="00000000" w:usb2="00000000" w:usb3="00000000" w:csb0="00000001" w:csb1="00000000"/>
  </w:font>
  <w:font w:name="TimesTen-Roman">
    <w:altName w:val="MS Mincho"/>
    <w:panose1 w:val="00000000000000000000"/>
    <w:charset w:val="80"/>
    <w:family w:val="auto"/>
    <w:notTrueType/>
    <w:pitch w:val="default"/>
    <w:sig w:usb0="00000001" w:usb1="08070000" w:usb2="00000010" w:usb3="00000000" w:csb0="00020000" w:csb1="00000000"/>
  </w:font>
  <w:font w:name="TimesTen-Bold">
    <w:altName w:val="MS Mincho"/>
    <w:panose1 w:val="00000000000000000000"/>
    <w:charset w:val="80"/>
    <w:family w:val="auto"/>
    <w:notTrueType/>
    <w:pitch w:val="default"/>
    <w:sig w:usb0="00000001" w:usb1="08070000" w:usb2="00000010" w:usb3="00000000" w:csb0="00020000" w:csb1="00000000"/>
  </w:font>
  <w:font w:name="AGaramond-Regular">
    <w:panose1 w:val="00000000000000000000"/>
    <w:charset w:val="00"/>
    <w:family w:val="roman"/>
    <w:notTrueType/>
    <w:pitch w:val="default"/>
    <w:sig w:usb0="00000003" w:usb1="00000000" w:usb2="00000000" w:usb3="00000000" w:csb0="00000001" w:csb1="00000000"/>
  </w:font>
  <w:font w:name="AGaramond-Regular-SC700">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5FF3"/>
    <w:rsid w:val="00AD2D7B"/>
    <w:rsid w:val="00BE5F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8AE1384D4B4AC5BB8A403E0297354F">
    <w:name w:val="008AE1384D4B4AC5BB8A403E0297354F"/>
    <w:rsid w:val="00BE5FF3"/>
  </w:style>
  <w:style w:type="paragraph" w:customStyle="1" w:styleId="B3A881FCCC7746B59A11560E71583F14">
    <w:name w:val="B3A881FCCC7746B59A11560E71583F14"/>
    <w:rsid w:val="00BE5FF3"/>
  </w:style>
  <w:style w:type="paragraph" w:customStyle="1" w:styleId="4C44E8849C5044638E26AA73AE691DCE">
    <w:name w:val="4C44E8849C5044638E26AA73AE691DCE"/>
    <w:rsid w:val="00BE5FF3"/>
  </w:style>
  <w:style w:type="paragraph" w:customStyle="1" w:styleId="498750B5E7FC42C980FD32E4E1EBAA7E">
    <w:name w:val="498750B5E7FC42C980FD32E4E1EBAA7E"/>
    <w:rsid w:val="00BE5FF3"/>
  </w:style>
  <w:style w:type="paragraph" w:customStyle="1" w:styleId="F3E2D92B790748DF9C3C05E7545DA20B">
    <w:name w:val="F3E2D92B790748DF9C3C05E7545DA20B"/>
    <w:rsid w:val="00BE5FF3"/>
  </w:style>
  <w:style w:type="paragraph" w:customStyle="1" w:styleId="91DB421FD2034EADA727C698877AD321">
    <w:name w:val="91DB421FD2034EADA727C698877AD321"/>
    <w:rsid w:val="00BE5FF3"/>
  </w:style>
  <w:style w:type="paragraph" w:customStyle="1" w:styleId="C951DC82187E4DFAA14484199E04FDB4">
    <w:name w:val="C951DC82187E4DFAA14484199E04FDB4"/>
    <w:rsid w:val="00BE5FF3"/>
  </w:style>
  <w:style w:type="paragraph" w:customStyle="1" w:styleId="F5F8759E3D154B9FA337B5EBE157F409">
    <w:name w:val="F5F8759E3D154B9FA337B5EBE157F409"/>
    <w:rsid w:val="00BE5FF3"/>
  </w:style>
  <w:style w:type="paragraph" w:customStyle="1" w:styleId="3814E58B9C0B49BD82BB6421D9826F37">
    <w:name w:val="3814E58B9C0B49BD82BB6421D9826F37"/>
    <w:rsid w:val="00BE5FF3"/>
  </w:style>
  <w:style w:type="paragraph" w:customStyle="1" w:styleId="86BB30A17B99444F9F0E6C149A3D5EAC">
    <w:name w:val="86BB30A17B99444F9F0E6C149A3D5EAC"/>
    <w:rsid w:val="00BE5FF3"/>
  </w:style>
  <w:style w:type="paragraph" w:customStyle="1" w:styleId="1C91AA1598DE4EE4BBB8EC18543B9865">
    <w:name w:val="1C91AA1598DE4EE4BBB8EC18543B9865"/>
    <w:rsid w:val="00BE5FF3"/>
  </w:style>
  <w:style w:type="paragraph" w:customStyle="1" w:styleId="64AA81C6AD674179BF020B717F8BCDB6">
    <w:name w:val="64AA81C6AD674179BF020B717F8BCDB6"/>
    <w:rsid w:val="00BE5FF3"/>
  </w:style>
  <w:style w:type="paragraph" w:customStyle="1" w:styleId="9F524788BCA441D09FE8595E4690AF01">
    <w:name w:val="9F524788BCA441D09FE8595E4690AF01"/>
    <w:rsid w:val="00BE5FF3"/>
  </w:style>
  <w:style w:type="paragraph" w:customStyle="1" w:styleId="58ABF99516C548049F6FB2F9F4CBC46D">
    <w:name w:val="58ABF99516C548049F6FB2F9F4CBC46D"/>
    <w:rsid w:val="00BE5F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E8EF15-FC5F-4574-B595-2191BCC6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13535</Words>
  <Characters>77154</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Thought Arbitrage Research Institute</Company>
  <LinksUpToDate>false</LinksUpToDate>
  <CharactersWithSpaces>90508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and Rights of Minority Shareholders in Listed State owned Enterprises (SOEs) -                             Experiences and lessons from India</dc:title>
  <dc:subject>-Experiences and lessons from India</dc:subject>
  <dc:creator>Santosh Pande</dc:creator>
  <cp:lastModifiedBy>Sony</cp:lastModifiedBy>
  <cp:revision>3</cp:revision>
  <dcterms:created xsi:type="dcterms:W3CDTF">2015-02-18T10:28:00Z</dcterms:created>
  <dcterms:modified xsi:type="dcterms:W3CDTF">2015-02-18T10:30:00Z</dcterms:modified>
</cp:coreProperties>
</file>